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0FE45" w14:textId="77777777" w:rsidR="0050106D" w:rsidRDefault="0050106D" w:rsidP="00F067C8">
      <w:pPr>
        <w:tabs>
          <w:tab w:val="left" w:leader="underscore" w:pos="9639"/>
        </w:tabs>
        <w:spacing w:after="0" w:line="240" w:lineRule="auto"/>
        <w:jc w:val="center"/>
      </w:pPr>
      <w:bookmarkStart w:id="0" w:name="_GoBack"/>
      <w:bookmarkEnd w:id="0"/>
    </w:p>
    <w:p w14:paraId="507776DB" w14:textId="77777777" w:rsidR="007D1E76" w:rsidRPr="00101390" w:rsidRDefault="00270EFB" w:rsidP="00F067C8">
      <w:pPr>
        <w:tabs>
          <w:tab w:val="left" w:leader="underscore" w:pos="9639"/>
        </w:tabs>
        <w:spacing w:after="0" w:line="240" w:lineRule="auto"/>
        <w:jc w:val="center"/>
        <w:rPr>
          <w:rFonts w:cs="Calibri"/>
          <w:b/>
          <w:sz w:val="24"/>
          <w:szCs w:val="24"/>
        </w:rPr>
      </w:pPr>
      <w:hyperlink r:id="rId11" w:history="1">
        <w:r w:rsidR="007D1E76" w:rsidRPr="00101390">
          <w:rPr>
            <w:rStyle w:val="Hipervnculo"/>
            <w:rFonts w:cs="Calibri"/>
            <w:b/>
            <w:sz w:val="24"/>
            <w:szCs w:val="24"/>
          </w:rPr>
          <w:t>NOTAS DE GESTIÓN ADMINISTRATIVA</w:t>
        </w:r>
      </w:hyperlink>
    </w:p>
    <w:p w14:paraId="1217A01B" w14:textId="34591E91" w:rsidR="007D1E76" w:rsidRPr="00E74967" w:rsidRDefault="007D1E76" w:rsidP="00F067C8">
      <w:pPr>
        <w:tabs>
          <w:tab w:val="left" w:leader="underscore" w:pos="9639"/>
        </w:tabs>
        <w:spacing w:after="0" w:line="240" w:lineRule="auto"/>
        <w:jc w:val="center"/>
        <w:rPr>
          <w:rFonts w:cs="Calibri"/>
        </w:rPr>
      </w:pPr>
    </w:p>
    <w:p w14:paraId="713110D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Los Estados Financieros de los entes públicos, proveen de información financiera a los principales usuarios de la misma, al</w:t>
      </w:r>
      <w:r w:rsidR="00E00323" w:rsidRPr="00101390">
        <w:rPr>
          <w:rFonts w:cs="Calibri"/>
          <w:sz w:val="20"/>
          <w:szCs w:val="20"/>
        </w:rPr>
        <w:t xml:space="preserve"> Congreso y a los ciudadanos.</w:t>
      </w:r>
    </w:p>
    <w:p w14:paraId="25F26DDB" w14:textId="08E5784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El objetivo del presente documento es la revelación del contexto y de los aspectos económicos</w:t>
      </w:r>
      <w:r w:rsidR="00967DDA" w:rsidRPr="00101390">
        <w:rPr>
          <w:rFonts w:cs="Calibri"/>
          <w:sz w:val="20"/>
          <w:szCs w:val="20"/>
        </w:rPr>
        <w:t>-</w:t>
      </w:r>
      <w:r w:rsidRPr="00101390">
        <w:rPr>
          <w:rFonts w:cs="Calibri"/>
          <w:sz w:val="20"/>
          <w:szCs w:val="20"/>
        </w:rPr>
        <w:t>financieros más relevantes que influyeron en las decisiones del período, y que deberán ser considerados en la elaboración de los estados financieros para la mayor comprensión de los m</w:t>
      </w:r>
      <w:r w:rsidR="00E00323" w:rsidRPr="00101390">
        <w:rPr>
          <w:rFonts w:cs="Calibri"/>
          <w:sz w:val="20"/>
          <w:szCs w:val="20"/>
        </w:rPr>
        <w:t>ismos y sus particularidades.</w:t>
      </w:r>
    </w:p>
    <w:p w14:paraId="559642E6" w14:textId="7AD6189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 xml:space="preserve">De esta manera, </w:t>
      </w:r>
      <w:r w:rsidR="00295B72" w:rsidRPr="00101390">
        <w:rPr>
          <w:rFonts w:cs="Calibri"/>
          <w:sz w:val="20"/>
          <w:szCs w:val="20"/>
        </w:rPr>
        <w:t>se informan y explican las condiciones relacionadas con la información financiera de cada período de gestión; además, de exponer aquellas políticas que podrían afectar la toma de decisiones en períodos posteriores.</w:t>
      </w:r>
      <w:r w:rsidR="00C93C67" w:rsidRPr="00101390">
        <w:rPr>
          <w:rFonts w:cs="Calibri"/>
          <w:sz w:val="20"/>
          <w:szCs w:val="20"/>
        </w:rPr>
        <w:t xml:space="preserve"> (</w:t>
      </w:r>
      <w:r w:rsidR="00C93C67" w:rsidRPr="00101390">
        <w:rPr>
          <w:rFonts w:cs="Calibri"/>
          <w:color w:val="2F5496" w:themeColor="accent5" w:themeShade="BF"/>
          <w:sz w:val="20"/>
          <w:szCs w:val="20"/>
        </w:rPr>
        <w:t>DOF 06-12-2022</w:t>
      </w:r>
      <w:r w:rsidR="00C93C67" w:rsidRPr="00101390">
        <w:rPr>
          <w:rFonts w:cs="Calibri"/>
          <w:sz w:val="20"/>
          <w:szCs w:val="20"/>
        </w:rPr>
        <w:t>)</w:t>
      </w:r>
    </w:p>
    <w:p w14:paraId="009160FA" w14:textId="7F828C13" w:rsidR="007D1E76" w:rsidRPr="00101390" w:rsidRDefault="007D1E76" w:rsidP="00CB41C4">
      <w:pPr>
        <w:pStyle w:val="Prrafodelista"/>
        <w:tabs>
          <w:tab w:val="left" w:leader="underscore" w:pos="9639"/>
        </w:tabs>
        <w:spacing w:after="0" w:line="240" w:lineRule="auto"/>
        <w:jc w:val="both"/>
        <w:rPr>
          <w:rFonts w:cs="Calibri"/>
          <w:sz w:val="20"/>
          <w:szCs w:val="20"/>
        </w:rPr>
      </w:pPr>
    </w:p>
    <w:p w14:paraId="64420E1E" w14:textId="4E44B4A8" w:rsidR="007D1E76" w:rsidRPr="00101390" w:rsidRDefault="007D1E76" w:rsidP="00CB41C4">
      <w:pPr>
        <w:pStyle w:val="Prrafodelista"/>
        <w:numPr>
          <w:ilvl w:val="0"/>
          <w:numId w:val="1"/>
        </w:numPr>
        <w:tabs>
          <w:tab w:val="left" w:leader="underscore" w:pos="9639"/>
        </w:tabs>
        <w:spacing w:after="0" w:line="240" w:lineRule="auto"/>
        <w:jc w:val="both"/>
        <w:rPr>
          <w:rFonts w:cs="Calibri"/>
          <w:sz w:val="20"/>
          <w:szCs w:val="20"/>
        </w:rPr>
      </w:pPr>
      <w:r w:rsidRPr="00101390">
        <w:rPr>
          <w:rFonts w:cs="Calibri"/>
          <w:sz w:val="20"/>
          <w:szCs w:val="20"/>
        </w:rPr>
        <w:t>Las notas de gestión administrativa deben contener los siguientes puntos:</w:t>
      </w:r>
    </w:p>
    <w:p w14:paraId="552470B0" w14:textId="6EC8F965" w:rsidR="007D1E76" w:rsidRPr="00101390" w:rsidRDefault="007D1E76" w:rsidP="00CB41C4">
      <w:pPr>
        <w:tabs>
          <w:tab w:val="left" w:leader="underscore" w:pos="9639"/>
        </w:tabs>
        <w:spacing w:after="0" w:line="240" w:lineRule="auto"/>
        <w:jc w:val="both"/>
        <w:rPr>
          <w:rFonts w:cs="Calibri"/>
          <w:sz w:val="20"/>
          <w:szCs w:val="20"/>
        </w:rPr>
      </w:pPr>
    </w:p>
    <w:sdt>
      <w:sdtPr>
        <w:rPr>
          <w:rFonts w:ascii="Calibri" w:eastAsia="Calibri" w:hAnsi="Calibri" w:cs="Times New Roman"/>
          <w:color w:val="auto"/>
          <w:sz w:val="20"/>
          <w:szCs w:val="20"/>
          <w:lang w:val="es-ES" w:eastAsia="en-US"/>
        </w:rPr>
        <w:id w:val="-191922827"/>
        <w:docPartObj>
          <w:docPartGallery w:val="Table of Contents"/>
          <w:docPartUnique/>
        </w:docPartObj>
      </w:sdtPr>
      <w:sdtEndPr>
        <w:rPr>
          <w:b/>
          <w:bCs/>
          <w:sz w:val="22"/>
          <w:szCs w:val="22"/>
        </w:rPr>
      </w:sdtEndPr>
      <w:sdtContent>
        <w:p w14:paraId="68C75D59" w14:textId="5B2ECB74" w:rsidR="00F46719" w:rsidRPr="00101390" w:rsidRDefault="00F46719">
          <w:pPr>
            <w:pStyle w:val="TtulodeTDC"/>
            <w:rPr>
              <w:sz w:val="20"/>
              <w:szCs w:val="20"/>
              <w:lang w:val="es-ES"/>
            </w:rPr>
          </w:pPr>
          <w:r w:rsidRPr="00101390">
            <w:rPr>
              <w:sz w:val="20"/>
              <w:szCs w:val="20"/>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 xml:space="preserve">1. </w:t>
            </w:r>
            <w:r w:rsidR="005F51CC" w:rsidRPr="00101390">
              <w:rPr>
                <w:rStyle w:val="Hipervnculo"/>
                <w:rFonts w:cstheme="minorHAnsi"/>
                <w:b/>
                <w:noProof/>
                <w:sz w:val="20"/>
                <w:szCs w:val="20"/>
              </w:rPr>
              <w:t>Autorización</w:t>
            </w:r>
            <w:r w:rsidR="005F51CC" w:rsidRPr="005C0188">
              <w:rPr>
                <w:rStyle w:val="Hipervnculo"/>
                <w:rFonts w:cstheme="minorHAnsi"/>
                <w:b/>
                <w:noProof/>
              </w:rPr>
              <w:t xml:space="preserve">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C95A48">
              <w:rPr>
                <w:noProof/>
                <w:webHidden/>
              </w:rPr>
              <w:t>2</w:t>
            </w:r>
            <w:r w:rsidR="005F51CC">
              <w:rPr>
                <w:noProof/>
                <w:webHidden/>
              </w:rPr>
              <w:fldChar w:fldCharType="end"/>
            </w:r>
          </w:hyperlink>
        </w:p>
        <w:p w14:paraId="6A6756CA" w14:textId="5428BD0E"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C95A48">
              <w:rPr>
                <w:noProof/>
                <w:webHidden/>
              </w:rPr>
              <w:t>2</w:t>
            </w:r>
            <w:r w:rsidR="005F51CC">
              <w:rPr>
                <w:noProof/>
                <w:webHidden/>
              </w:rPr>
              <w:fldChar w:fldCharType="end"/>
            </w:r>
          </w:hyperlink>
        </w:p>
        <w:p w14:paraId="19796F35" w14:textId="77F3445E"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C95A48">
              <w:rPr>
                <w:noProof/>
                <w:webHidden/>
              </w:rPr>
              <w:t>2</w:t>
            </w:r>
            <w:r w:rsidR="005F51CC">
              <w:rPr>
                <w:noProof/>
                <w:webHidden/>
              </w:rPr>
              <w:fldChar w:fldCharType="end"/>
            </w:r>
          </w:hyperlink>
        </w:p>
        <w:p w14:paraId="62AC0657" w14:textId="45278940"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C95A48">
              <w:rPr>
                <w:noProof/>
                <w:webHidden/>
              </w:rPr>
              <w:t>3</w:t>
            </w:r>
            <w:r w:rsidR="005F51CC">
              <w:rPr>
                <w:noProof/>
                <w:webHidden/>
              </w:rPr>
              <w:fldChar w:fldCharType="end"/>
            </w:r>
          </w:hyperlink>
        </w:p>
        <w:p w14:paraId="7C7C1962" w14:textId="7569E89F"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C95A48">
              <w:rPr>
                <w:noProof/>
                <w:webHidden/>
              </w:rPr>
              <w:t>4</w:t>
            </w:r>
            <w:r w:rsidR="005F51CC">
              <w:rPr>
                <w:noProof/>
                <w:webHidden/>
              </w:rPr>
              <w:fldChar w:fldCharType="end"/>
            </w:r>
          </w:hyperlink>
        </w:p>
        <w:p w14:paraId="3FE6C661" w14:textId="3433CD09"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C95A48">
              <w:rPr>
                <w:noProof/>
                <w:webHidden/>
              </w:rPr>
              <w:t>5</w:t>
            </w:r>
            <w:r w:rsidR="005F51CC">
              <w:rPr>
                <w:noProof/>
                <w:webHidden/>
              </w:rPr>
              <w:fldChar w:fldCharType="end"/>
            </w:r>
          </w:hyperlink>
        </w:p>
        <w:p w14:paraId="135541CC" w14:textId="06594711"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C95A48">
              <w:rPr>
                <w:noProof/>
                <w:webHidden/>
              </w:rPr>
              <w:t>5</w:t>
            </w:r>
            <w:r w:rsidR="005F51CC">
              <w:rPr>
                <w:noProof/>
                <w:webHidden/>
              </w:rPr>
              <w:fldChar w:fldCharType="end"/>
            </w:r>
          </w:hyperlink>
        </w:p>
        <w:p w14:paraId="48C9D852" w14:textId="5DDCB4F7"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C95A48">
              <w:rPr>
                <w:noProof/>
                <w:webHidden/>
              </w:rPr>
              <w:t>5</w:t>
            </w:r>
            <w:r w:rsidR="005F51CC">
              <w:rPr>
                <w:noProof/>
                <w:webHidden/>
              </w:rPr>
              <w:fldChar w:fldCharType="end"/>
            </w:r>
          </w:hyperlink>
        </w:p>
        <w:p w14:paraId="027C97E3" w14:textId="6F133564"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C95A48">
              <w:rPr>
                <w:noProof/>
                <w:webHidden/>
              </w:rPr>
              <w:t>5</w:t>
            </w:r>
            <w:r w:rsidR="005F51CC">
              <w:rPr>
                <w:noProof/>
                <w:webHidden/>
              </w:rPr>
              <w:fldChar w:fldCharType="end"/>
            </w:r>
          </w:hyperlink>
        </w:p>
        <w:p w14:paraId="00DB87A1" w14:textId="0E5C6D6B"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C95A48">
              <w:rPr>
                <w:noProof/>
                <w:webHidden/>
              </w:rPr>
              <w:t>7</w:t>
            </w:r>
            <w:r w:rsidR="005F51CC">
              <w:rPr>
                <w:noProof/>
                <w:webHidden/>
              </w:rPr>
              <w:fldChar w:fldCharType="end"/>
            </w:r>
          </w:hyperlink>
        </w:p>
        <w:p w14:paraId="00EEECC2" w14:textId="7F2B838A"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C95A48">
              <w:rPr>
                <w:noProof/>
                <w:webHidden/>
              </w:rPr>
              <w:t>7</w:t>
            </w:r>
            <w:r w:rsidR="005F51CC">
              <w:rPr>
                <w:noProof/>
                <w:webHidden/>
              </w:rPr>
              <w:fldChar w:fldCharType="end"/>
            </w:r>
          </w:hyperlink>
        </w:p>
        <w:p w14:paraId="68FD7A9A" w14:textId="2CE0C7FE"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C95A48">
              <w:rPr>
                <w:noProof/>
                <w:webHidden/>
              </w:rPr>
              <w:t>7</w:t>
            </w:r>
            <w:r w:rsidR="005F51CC">
              <w:rPr>
                <w:noProof/>
                <w:webHidden/>
              </w:rPr>
              <w:fldChar w:fldCharType="end"/>
            </w:r>
          </w:hyperlink>
        </w:p>
        <w:p w14:paraId="5F55527F" w14:textId="527A5CEA"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C95A48">
              <w:rPr>
                <w:noProof/>
                <w:webHidden/>
              </w:rPr>
              <w:t>8</w:t>
            </w:r>
            <w:r w:rsidR="005F51CC">
              <w:rPr>
                <w:noProof/>
                <w:webHidden/>
              </w:rPr>
              <w:fldChar w:fldCharType="end"/>
            </w:r>
          </w:hyperlink>
        </w:p>
        <w:p w14:paraId="674ABB69" w14:textId="7086AD9C"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C95A48">
              <w:rPr>
                <w:noProof/>
                <w:webHidden/>
              </w:rPr>
              <w:t>8</w:t>
            </w:r>
            <w:r w:rsidR="005F51CC">
              <w:rPr>
                <w:noProof/>
                <w:webHidden/>
              </w:rPr>
              <w:fldChar w:fldCharType="end"/>
            </w:r>
          </w:hyperlink>
        </w:p>
        <w:p w14:paraId="39048CDA" w14:textId="5AD0C96E"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C95A48">
              <w:rPr>
                <w:noProof/>
                <w:webHidden/>
              </w:rPr>
              <w:t>8</w:t>
            </w:r>
            <w:r w:rsidR="005F51CC">
              <w:rPr>
                <w:noProof/>
                <w:webHidden/>
              </w:rPr>
              <w:fldChar w:fldCharType="end"/>
            </w:r>
          </w:hyperlink>
        </w:p>
        <w:p w14:paraId="7E9C5BA3" w14:textId="2249A661" w:rsidR="005F51CC" w:rsidRDefault="00270E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C95A48">
              <w:rPr>
                <w:noProof/>
                <w:webHidden/>
              </w:rPr>
              <w:t>8</w:t>
            </w:r>
            <w:r w:rsidR="005F51CC">
              <w:rPr>
                <w:noProof/>
                <w:webHidden/>
              </w:rPr>
              <w:fldChar w:fldCharType="end"/>
            </w:r>
          </w:hyperlink>
        </w:p>
        <w:p w14:paraId="5783E101" w14:textId="77777777" w:rsidR="007F5E45" w:rsidRDefault="00F46719" w:rsidP="007F5E45">
          <w:pPr>
            <w:rPr>
              <w:b/>
              <w:bCs/>
              <w:lang w:val="es-ES"/>
            </w:rPr>
          </w:pPr>
          <w:r>
            <w:rPr>
              <w:b/>
              <w:bCs/>
              <w:lang w:val="es-ES"/>
            </w:rPr>
            <w:fldChar w:fldCharType="end"/>
          </w:r>
        </w:p>
      </w:sdtContent>
    </w:sdt>
    <w:bookmarkStart w:id="1" w:name="_Toc161472866" w:displacedByCustomXml="prev"/>
    <w:p w14:paraId="54575967" w14:textId="5367FDE3" w:rsidR="007D1E76" w:rsidRPr="00101390" w:rsidRDefault="007E38A2" w:rsidP="000C3365">
      <w:pPr>
        <w:pStyle w:val="Ttulo2"/>
        <w:rPr>
          <w:rFonts w:asciiTheme="minorHAnsi" w:hAnsiTheme="minorHAnsi" w:cstheme="minorHAnsi"/>
          <w:b/>
          <w:color w:val="auto"/>
          <w:sz w:val="20"/>
          <w:szCs w:val="20"/>
        </w:rPr>
      </w:pPr>
      <w:r w:rsidRPr="00101390">
        <w:rPr>
          <w:rFonts w:asciiTheme="minorHAnsi" w:hAnsiTheme="minorHAnsi" w:cstheme="minorHAnsi"/>
          <w:b/>
          <w:color w:val="auto"/>
          <w:sz w:val="20"/>
          <w:szCs w:val="20"/>
        </w:rPr>
        <w:t>1</w:t>
      </w:r>
      <w:r w:rsidR="007D1E76" w:rsidRPr="00101390">
        <w:rPr>
          <w:rFonts w:asciiTheme="minorHAnsi" w:hAnsiTheme="minorHAnsi" w:cstheme="minorHAnsi"/>
          <w:b/>
          <w:color w:val="auto"/>
          <w:sz w:val="20"/>
          <w:szCs w:val="20"/>
        </w:rPr>
        <w:t>. Autoriza</w:t>
      </w:r>
      <w:r w:rsidR="00E00323" w:rsidRPr="00101390">
        <w:rPr>
          <w:rFonts w:asciiTheme="minorHAnsi" w:hAnsiTheme="minorHAnsi" w:cstheme="minorHAnsi"/>
          <w:b/>
          <w:color w:val="auto"/>
          <w:sz w:val="20"/>
          <w:szCs w:val="20"/>
        </w:rPr>
        <w:t>ción e Historia:</w:t>
      </w:r>
      <w:bookmarkEnd w:id="1"/>
    </w:p>
    <w:p w14:paraId="441574C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F477DA3" w14:textId="72F8AFA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Fecha de creación del ente</w:t>
      </w:r>
      <w:r w:rsidR="00F43AC5" w:rsidRPr="00101390">
        <w:rPr>
          <w:rFonts w:cs="Calibri"/>
          <w:sz w:val="20"/>
          <w:szCs w:val="20"/>
        </w:rPr>
        <w:t xml:space="preserve"> público.</w:t>
      </w:r>
    </w:p>
    <w:p w14:paraId="3837CA26" w14:textId="1256778E" w:rsidR="007D1E76" w:rsidRPr="00101390" w:rsidRDefault="00E4341B" w:rsidP="00CB41C4">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se crea el 25 de agosto de 2009 mediante decreto del estado de Guanajuato.</w:t>
      </w:r>
    </w:p>
    <w:p w14:paraId="3A2353B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Principales cambios en su estructura (interna históricamente).</w:t>
      </w:r>
    </w:p>
    <w:p w14:paraId="16A215A1" w14:textId="4F4D9572" w:rsidR="00516A8F" w:rsidRPr="00101390" w:rsidRDefault="00E4341B" w:rsidP="00516A8F">
      <w:pPr>
        <w:tabs>
          <w:tab w:val="left" w:leader="underscore" w:pos="9639"/>
        </w:tabs>
        <w:spacing w:after="0" w:line="240" w:lineRule="auto"/>
        <w:jc w:val="both"/>
        <w:rPr>
          <w:rFonts w:cs="Calibri"/>
          <w:sz w:val="20"/>
          <w:szCs w:val="20"/>
        </w:rPr>
      </w:pPr>
      <w:r w:rsidRPr="00101390">
        <w:rPr>
          <w:rFonts w:cs="Calibri"/>
          <w:sz w:val="20"/>
          <w:szCs w:val="20"/>
        </w:rPr>
        <w:t>En sus inicios se crea con una estructura básica tipo a del TECNM para posteriormente y debido a su crecimiento natural se obtiene una estructura tipo c.</w:t>
      </w:r>
    </w:p>
    <w:p w14:paraId="37A07678" w14:textId="77777777" w:rsidR="00E4341B" w:rsidRPr="00101390" w:rsidRDefault="00E4341B" w:rsidP="00516A8F">
      <w:pPr>
        <w:tabs>
          <w:tab w:val="left" w:leader="underscore" w:pos="9639"/>
        </w:tabs>
        <w:spacing w:after="0" w:line="240" w:lineRule="auto"/>
        <w:jc w:val="both"/>
        <w:rPr>
          <w:rFonts w:cs="Calibri"/>
          <w:sz w:val="20"/>
          <w:szCs w:val="20"/>
        </w:rPr>
      </w:pPr>
    </w:p>
    <w:p w14:paraId="5A494C73" w14:textId="2CC077B0" w:rsidR="00BE02EB" w:rsidRPr="00101390" w:rsidRDefault="00BE02EB" w:rsidP="000C3365">
      <w:pPr>
        <w:pStyle w:val="Ttulo2"/>
        <w:rPr>
          <w:rFonts w:asciiTheme="minorHAnsi" w:hAnsiTheme="minorHAnsi" w:cstheme="minorHAnsi"/>
          <w:b/>
          <w:color w:val="auto"/>
          <w:sz w:val="20"/>
          <w:szCs w:val="20"/>
        </w:rPr>
      </w:pPr>
      <w:bookmarkStart w:id="2" w:name="_Toc161472867"/>
      <w:r w:rsidRPr="00101390">
        <w:rPr>
          <w:rFonts w:asciiTheme="minorHAnsi" w:hAnsiTheme="minorHAnsi" w:cstheme="minorHAnsi"/>
          <w:b/>
          <w:color w:val="auto"/>
          <w:sz w:val="20"/>
          <w:szCs w:val="20"/>
        </w:rPr>
        <w:t xml:space="preserve">2. </w:t>
      </w:r>
      <w:r w:rsidR="00B6368B" w:rsidRPr="00101390">
        <w:rPr>
          <w:rFonts w:asciiTheme="minorHAnsi" w:hAnsiTheme="minorHAnsi" w:cstheme="minorHAnsi"/>
          <w:b/>
          <w:color w:val="auto"/>
          <w:sz w:val="20"/>
          <w:szCs w:val="20"/>
        </w:rPr>
        <w:t>Panorama Económico y Financiero</w:t>
      </w:r>
      <w:bookmarkEnd w:id="2"/>
    </w:p>
    <w:p w14:paraId="548FE5C0" w14:textId="3C95EB09" w:rsidR="00516A8F" w:rsidRPr="00101390" w:rsidRDefault="0012493A" w:rsidP="00516A8F">
      <w:pPr>
        <w:tabs>
          <w:tab w:val="left" w:leader="underscore" w:pos="9639"/>
        </w:tabs>
        <w:spacing w:after="0" w:line="240" w:lineRule="auto"/>
        <w:jc w:val="both"/>
        <w:rPr>
          <w:rFonts w:cs="Calibri"/>
          <w:sz w:val="20"/>
          <w:szCs w:val="20"/>
        </w:rPr>
      </w:pPr>
      <w:r w:rsidRPr="00101390">
        <w:rPr>
          <w:rFonts w:cs="Calibri"/>
          <w:sz w:val="20"/>
          <w:szCs w:val="20"/>
        </w:rPr>
        <w:t>Se informará sobre las principales condiciones económico-financieras bajo las cuales el ente público estuvo operando; y las cuales influyeron en la toma de decisiones de la administración; tanto a nivel local como federal.</w:t>
      </w:r>
    </w:p>
    <w:p w14:paraId="6841A9BC" w14:textId="248FD5B3" w:rsidR="0012493A" w:rsidRPr="00101390" w:rsidRDefault="00E4341B" w:rsidP="0012493A">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208447E6" w14:textId="77777777" w:rsidR="0012493A" w:rsidRPr="00101390" w:rsidRDefault="0012493A" w:rsidP="00516A8F">
      <w:pPr>
        <w:tabs>
          <w:tab w:val="left" w:leader="underscore" w:pos="9639"/>
        </w:tabs>
        <w:spacing w:after="0" w:line="240" w:lineRule="auto"/>
        <w:jc w:val="both"/>
        <w:rPr>
          <w:rFonts w:cs="Calibri"/>
          <w:sz w:val="20"/>
          <w:szCs w:val="20"/>
        </w:rPr>
      </w:pPr>
    </w:p>
    <w:p w14:paraId="08136E94" w14:textId="2B775A1C" w:rsidR="007D1E76" w:rsidRPr="00101390" w:rsidRDefault="009736CB" w:rsidP="000C3365">
      <w:pPr>
        <w:pStyle w:val="Ttulo2"/>
        <w:rPr>
          <w:rFonts w:asciiTheme="minorHAnsi" w:hAnsiTheme="minorHAnsi" w:cstheme="minorHAnsi"/>
          <w:b/>
          <w:color w:val="auto"/>
          <w:sz w:val="20"/>
          <w:szCs w:val="20"/>
        </w:rPr>
      </w:pPr>
      <w:bookmarkStart w:id="3" w:name="_Toc161472868"/>
      <w:r w:rsidRPr="00101390">
        <w:rPr>
          <w:rFonts w:asciiTheme="minorHAnsi" w:hAnsiTheme="minorHAnsi" w:cstheme="minorHAnsi"/>
          <w:b/>
          <w:color w:val="auto"/>
          <w:sz w:val="20"/>
          <w:szCs w:val="20"/>
        </w:rPr>
        <w:t>3</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Organización y Objeto Social:</w:t>
      </w:r>
      <w:bookmarkEnd w:id="3"/>
    </w:p>
    <w:p w14:paraId="67B5DF2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A7F2587"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Objeto social.</w:t>
      </w:r>
    </w:p>
    <w:p w14:paraId="4E01E1A7" w14:textId="77777777" w:rsidR="00BA1680" w:rsidRPr="00101390" w:rsidRDefault="00BA1680" w:rsidP="00CB41C4">
      <w:pPr>
        <w:tabs>
          <w:tab w:val="left" w:leader="underscore" w:pos="9639"/>
        </w:tabs>
        <w:spacing w:after="0" w:line="240" w:lineRule="auto"/>
        <w:jc w:val="both"/>
        <w:rPr>
          <w:rFonts w:ascii="Arial" w:hAnsi="Arial" w:cs="Arial"/>
          <w:sz w:val="20"/>
          <w:szCs w:val="20"/>
          <w:lang w:val="es-ES" w:eastAsia="es-ES"/>
        </w:rPr>
      </w:pPr>
      <w:r w:rsidRPr="00101390">
        <w:rPr>
          <w:rFonts w:ascii="Arial" w:hAnsi="Arial" w:cs="Arial"/>
          <w:sz w:val="20"/>
          <w:szCs w:val="20"/>
          <w:lang w:val="es-ES" w:eastAsia="es-ES"/>
        </w:rPr>
        <w:t>Contribuir, a través del proceso educativo, a mejorar las condiciones de vida de los guanajuatenses</w:t>
      </w:r>
    </w:p>
    <w:p w14:paraId="2C110A08"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 actividad.</w:t>
      </w:r>
    </w:p>
    <w:p w14:paraId="25E068D1" w14:textId="00E102A3"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Ofertar Educación Superior Tecnológica</w:t>
      </w:r>
    </w:p>
    <w:p w14:paraId="2D21CE61" w14:textId="6D32D0F0"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Ejercicio fiscal (</w:t>
      </w:r>
      <w:r w:rsidR="00CB41C4" w:rsidRPr="00101390">
        <w:rPr>
          <w:rFonts w:cs="Calibri"/>
          <w:sz w:val="20"/>
          <w:szCs w:val="20"/>
        </w:rPr>
        <w:t>mencionar,</w:t>
      </w:r>
      <w:r w:rsidRPr="00101390">
        <w:rPr>
          <w:rFonts w:cs="Calibri"/>
          <w:sz w:val="20"/>
          <w:szCs w:val="20"/>
        </w:rPr>
        <w:t xml:space="preserve"> por ejemplo: enero a diciembre de 20</w:t>
      </w:r>
      <w:r w:rsidR="009736CB" w:rsidRPr="00101390">
        <w:rPr>
          <w:rFonts w:cs="Calibri"/>
          <w:sz w:val="20"/>
          <w:szCs w:val="20"/>
        </w:rPr>
        <w:t>24</w:t>
      </w:r>
      <w:r w:rsidRPr="00101390">
        <w:rPr>
          <w:rFonts w:cs="Calibri"/>
          <w:sz w:val="20"/>
          <w:szCs w:val="20"/>
        </w:rPr>
        <w:t>).</w:t>
      </w:r>
    </w:p>
    <w:p w14:paraId="04F7186A" w14:textId="5B988197" w:rsidR="007D1E76" w:rsidRPr="00101390" w:rsidRDefault="00BA1680" w:rsidP="00CB41C4">
      <w:pPr>
        <w:tabs>
          <w:tab w:val="left" w:leader="underscore" w:pos="9639"/>
        </w:tabs>
        <w:spacing w:after="0" w:line="240" w:lineRule="auto"/>
        <w:jc w:val="both"/>
        <w:rPr>
          <w:rFonts w:cs="Calibri"/>
          <w:sz w:val="20"/>
          <w:szCs w:val="20"/>
        </w:rPr>
      </w:pPr>
      <w:r w:rsidRPr="00101390">
        <w:rPr>
          <w:rFonts w:cs="Calibri"/>
          <w:sz w:val="20"/>
          <w:szCs w:val="20"/>
        </w:rPr>
        <w:t>Enero a Diciembre de 2024</w:t>
      </w:r>
    </w:p>
    <w:p w14:paraId="6B13C93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Régimen jurídico (Forma como está dada de alta la entidad ante la S.H.C.P., ejemplos: S.C., S.A., Personas morales sin fines de lucro, etc.).</w:t>
      </w:r>
    </w:p>
    <w:p w14:paraId="01F9F682" w14:textId="77777777" w:rsidR="00BA1680" w:rsidRPr="00101390" w:rsidRDefault="00BA1680" w:rsidP="00BA1680">
      <w:pPr>
        <w:tabs>
          <w:tab w:val="left" w:leader="underscore" w:pos="9639"/>
        </w:tabs>
        <w:spacing w:after="0" w:line="240" w:lineRule="auto"/>
        <w:jc w:val="both"/>
        <w:rPr>
          <w:rFonts w:ascii="Callibri" w:hAnsi="Callibri" w:cs="Arial"/>
          <w:sz w:val="20"/>
          <w:szCs w:val="20"/>
          <w:lang w:val="es-ES" w:eastAsia="es-ES"/>
        </w:rPr>
      </w:pPr>
      <w:r w:rsidRPr="00101390">
        <w:rPr>
          <w:rFonts w:ascii="Callibri" w:hAnsi="Callibri" w:cs="Arial"/>
          <w:sz w:val="20"/>
          <w:szCs w:val="20"/>
          <w:lang w:val="es-ES" w:eastAsia="es-ES"/>
        </w:rPr>
        <w:t>Personas morales sin fines de lucro.</w:t>
      </w:r>
    </w:p>
    <w:p w14:paraId="711C6095" w14:textId="5DBDB060" w:rsidR="007D1E76" w:rsidRPr="00101390" w:rsidRDefault="007D1E76" w:rsidP="00CB41C4">
      <w:pPr>
        <w:tabs>
          <w:tab w:val="left" w:leader="underscore" w:pos="9639"/>
        </w:tabs>
        <w:spacing w:after="0" w:line="240" w:lineRule="auto"/>
        <w:jc w:val="both"/>
        <w:rPr>
          <w:rFonts w:cs="Calibri"/>
          <w:sz w:val="20"/>
          <w:szCs w:val="20"/>
        </w:rPr>
      </w:pPr>
    </w:p>
    <w:p w14:paraId="1594896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Consideraciones fiscales del ente: </w:t>
      </w:r>
      <w:r w:rsidR="00657009" w:rsidRPr="00101390">
        <w:rPr>
          <w:rFonts w:cs="Calibri"/>
          <w:sz w:val="20"/>
          <w:szCs w:val="20"/>
        </w:rPr>
        <w:t>R</w:t>
      </w:r>
      <w:r w:rsidRPr="00101390">
        <w:rPr>
          <w:rFonts w:cs="Calibri"/>
          <w:sz w:val="20"/>
          <w:szCs w:val="20"/>
        </w:rPr>
        <w:t>evelar el tipo de contribuciones que esté obligado a pagar o retener.</w:t>
      </w:r>
    </w:p>
    <w:p w14:paraId="7E6777B9" w14:textId="48A78AC8"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 xml:space="preserve">     </w:t>
      </w:r>
      <w:r w:rsidRPr="00101390">
        <w:rPr>
          <w:rFonts w:cs="Calibri"/>
          <w:sz w:val="20"/>
          <w:szCs w:val="20"/>
          <w:lang w:val="es-ES" w:eastAsia="es-ES"/>
        </w:rPr>
        <w:t>Retener y Enterar ISR por Salarios, Retener y enterar ISR por arrendamiento, Retener y enterar ISR por retención sobre honorarios. Impuesto estatal sobre nóminas, Retener y enterar impuesto estatal cedular por honorarios y arrendamiento</w:t>
      </w:r>
      <w:r w:rsidRPr="00101390">
        <w:rPr>
          <w:rFonts w:ascii="Arial" w:hAnsi="Arial" w:cs="Arial"/>
          <w:sz w:val="20"/>
          <w:szCs w:val="20"/>
          <w:lang w:val="es-ES" w:eastAsia="es-ES"/>
        </w:rPr>
        <w:t>.</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Estructura organizacional básica.</w:t>
      </w:r>
    </w:p>
    <w:p w14:paraId="0FE08B68" w14:textId="77777777" w:rsidR="007D1E76" w:rsidRPr="00101390" w:rsidRDefault="007D1E76" w:rsidP="00CB41C4">
      <w:pPr>
        <w:tabs>
          <w:tab w:val="left" w:leader="underscore" w:pos="9639"/>
        </w:tabs>
        <w:spacing w:after="0" w:line="240" w:lineRule="auto"/>
        <w:ind w:firstLine="708"/>
        <w:jc w:val="both"/>
        <w:rPr>
          <w:rFonts w:cs="Calibri"/>
          <w:sz w:val="20"/>
          <w:szCs w:val="20"/>
        </w:rPr>
      </w:pPr>
      <w:r w:rsidRPr="00101390">
        <w:rPr>
          <w:rFonts w:cs="Calibri"/>
          <w:sz w:val="20"/>
          <w:szCs w:val="20"/>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176027C" w:rsidR="00CB41C4" w:rsidRDefault="00BA1680"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2604C71B" wp14:editId="4D81544C">
            <wp:extent cx="7784327" cy="4298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1563" cy="4313354"/>
                    </a:xfrm>
                    <a:prstGeom prst="rect">
                      <a:avLst/>
                    </a:prstGeom>
                    <a:noFill/>
                  </pic:spPr>
                </pic:pic>
              </a:graphicData>
            </a:graphic>
          </wp:inline>
        </w:drawing>
      </w: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w:t>
      </w:r>
      <w:r w:rsidR="00396D53" w:rsidRPr="00101390">
        <w:rPr>
          <w:rFonts w:cs="Calibri"/>
          <w:sz w:val="20"/>
          <w:szCs w:val="20"/>
        </w:rPr>
        <w:t>Fideicomisos de los cuales es fideicomitente o fideicomisario, y contratos análogos, incluyendo mandatos de los cuales es parte.</w:t>
      </w:r>
    </w:p>
    <w:p w14:paraId="30A4EDC2" w14:textId="0B372904"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contamos con ninguna de estas figuras</w:t>
      </w:r>
    </w:p>
    <w:p w14:paraId="642A4B90" w14:textId="77777777" w:rsidR="00CB41C4" w:rsidRPr="00101390" w:rsidRDefault="00CB41C4" w:rsidP="00CB41C4">
      <w:pPr>
        <w:tabs>
          <w:tab w:val="left" w:leader="underscore" w:pos="9639"/>
        </w:tabs>
        <w:spacing w:after="0" w:line="240" w:lineRule="auto"/>
        <w:jc w:val="both"/>
        <w:rPr>
          <w:rFonts w:cs="Calibri"/>
          <w:sz w:val="20"/>
          <w:szCs w:val="20"/>
        </w:rPr>
      </w:pPr>
    </w:p>
    <w:p w14:paraId="12E280BB" w14:textId="61B6566F" w:rsidR="007D1E76" w:rsidRPr="00101390" w:rsidRDefault="006F77A8" w:rsidP="000C3365">
      <w:pPr>
        <w:pStyle w:val="Ttulo2"/>
        <w:rPr>
          <w:rFonts w:asciiTheme="minorHAnsi" w:hAnsiTheme="minorHAnsi" w:cstheme="minorHAnsi"/>
          <w:b/>
          <w:color w:val="auto"/>
          <w:sz w:val="20"/>
          <w:szCs w:val="20"/>
        </w:rPr>
      </w:pPr>
      <w:bookmarkStart w:id="4" w:name="_Toc161472869"/>
      <w:r w:rsidRPr="00101390">
        <w:rPr>
          <w:rFonts w:asciiTheme="minorHAnsi" w:hAnsiTheme="minorHAnsi" w:cstheme="minorHAnsi"/>
          <w:b/>
          <w:color w:val="auto"/>
          <w:sz w:val="20"/>
          <w:szCs w:val="20"/>
        </w:rPr>
        <w:t>4</w:t>
      </w:r>
      <w:r w:rsidR="007D1E76" w:rsidRPr="00101390">
        <w:rPr>
          <w:rFonts w:asciiTheme="minorHAnsi" w:hAnsiTheme="minorHAnsi" w:cstheme="minorHAnsi"/>
          <w:b/>
          <w:color w:val="auto"/>
          <w:sz w:val="20"/>
          <w:szCs w:val="20"/>
        </w:rPr>
        <w:t>. Bases de Preparació</w:t>
      </w:r>
      <w:r w:rsidR="00E00323" w:rsidRPr="00101390">
        <w:rPr>
          <w:rFonts w:asciiTheme="minorHAnsi" w:hAnsiTheme="minorHAnsi" w:cstheme="minorHAnsi"/>
          <w:b/>
          <w:color w:val="auto"/>
          <w:sz w:val="20"/>
          <w:szCs w:val="20"/>
        </w:rPr>
        <w:t>n de los Estados Financieros:</w:t>
      </w:r>
      <w:bookmarkEnd w:id="4"/>
    </w:p>
    <w:p w14:paraId="1671328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4D261760"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Si se ha observado la normatividad emitida por el CONAC y las disposiciones legales aplicables.</w:t>
      </w:r>
    </w:p>
    <w:p w14:paraId="495B8FFF" w14:textId="46C92903" w:rsidR="007D1E76" w:rsidRPr="00101390" w:rsidRDefault="00DA6F1E" w:rsidP="00CB41C4">
      <w:pPr>
        <w:tabs>
          <w:tab w:val="left" w:leader="underscore" w:pos="9639"/>
        </w:tabs>
        <w:spacing w:after="0" w:line="240" w:lineRule="auto"/>
        <w:jc w:val="both"/>
        <w:rPr>
          <w:rFonts w:asciiTheme="minorHAnsi" w:hAnsiTheme="minorHAnsi" w:cstheme="minorHAnsi"/>
          <w:sz w:val="20"/>
          <w:szCs w:val="20"/>
        </w:rPr>
      </w:pPr>
      <w:r w:rsidRPr="00101390">
        <w:rPr>
          <w:rFonts w:asciiTheme="minorHAnsi" w:hAnsiTheme="minorHAnsi" w:cstheme="minorHAnsi"/>
          <w:sz w:val="20"/>
          <w:szCs w:val="20"/>
          <w:lang w:val="es-ES" w:eastAsia="es-ES"/>
        </w:rPr>
        <w:lastRenderedPageBreak/>
        <w:t>Sí, se han revisado los documentos normativos relacionados con los Estados Financieros (Normas y Metodología para la emisión de información financiera y estructura de los estados financieros básicos del ente público y características de sus notas.</w:t>
      </w:r>
    </w:p>
    <w:p w14:paraId="73F52BD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758BBBFA"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Al conocer los documentos de CONAC se comprende lo antes mencionado. (Principales reglas de registro y valoración del patrimonio, así como las reglas específicas del registro y valoración del patrimonio</w:t>
      </w:r>
    </w:p>
    <w:p w14:paraId="7ED1C1ED" w14:textId="784B4DD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A6346D" w:rsidRPr="00101390">
        <w:rPr>
          <w:rFonts w:cs="Calibri"/>
          <w:sz w:val="20"/>
          <w:szCs w:val="20"/>
        </w:rPr>
        <w:t>Postulados básicos de Contabilidad Gubernamental (PBCG)</w:t>
      </w:r>
      <w:r w:rsidRPr="00101390">
        <w:rPr>
          <w:rFonts w:cs="Calibri"/>
          <w:sz w:val="20"/>
          <w:szCs w:val="20"/>
        </w:rPr>
        <w:t>.</w:t>
      </w:r>
    </w:p>
    <w:p w14:paraId="5009A319" w14:textId="0C0F5DD5"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 xml:space="preserve">Las Bases de Preparación de los Estados Financieros aplican los Postulados Básicos de Registro Contable, el devengo del ingreso del egreso, está considerando dentro de los diferentes rubros de la información financiera. </w:t>
      </w:r>
    </w:p>
    <w:p w14:paraId="3F34EDBC" w14:textId="4B220B05" w:rsidR="006D5F8C" w:rsidRPr="00101390" w:rsidRDefault="007D1E76" w:rsidP="007F5E45">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101390">
        <w:rPr>
          <w:rFonts w:cs="Calibri"/>
          <w:sz w:val="20"/>
          <w:szCs w:val="20"/>
        </w:rPr>
        <w:t>Marco Conceptual de Contabilidad Gubernamental (MCCG) y sus modificaciones.</w:t>
      </w:r>
      <w:r w:rsidR="007F5E45" w:rsidRPr="00101390">
        <w:rPr>
          <w:rFonts w:cs="Calibri"/>
          <w:sz w:val="20"/>
          <w:szCs w:val="20"/>
        </w:rPr>
        <w:t xml:space="preserve">  </w:t>
      </w:r>
      <w:r w:rsidR="006D5F8C" w:rsidRPr="00101390">
        <w:rPr>
          <w:rFonts w:cs="Calibri"/>
          <w:sz w:val="20"/>
          <w:szCs w:val="20"/>
        </w:rPr>
        <w:t>No aplicamos dicha normatividad supletoria.</w:t>
      </w:r>
    </w:p>
    <w:p w14:paraId="084AD24A" w14:textId="4A679E5F"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Para las entidades que por primera vez estén implementando la base </w:t>
      </w:r>
      <w:r w:rsidR="0086420E" w:rsidRPr="00101390">
        <w:rPr>
          <w:rFonts w:cs="Calibri"/>
          <w:sz w:val="20"/>
          <w:szCs w:val="20"/>
        </w:rPr>
        <w:t xml:space="preserve">de </w:t>
      </w:r>
      <w:r w:rsidRPr="00101390">
        <w:rPr>
          <w:rFonts w:cs="Calibri"/>
          <w:sz w:val="20"/>
          <w:szCs w:val="20"/>
        </w:rPr>
        <w:t>devengado de acuerdo a la Ley de Contabilidad, deberán:</w:t>
      </w:r>
    </w:p>
    <w:p w14:paraId="66DA893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las nuevas políticas de reconocimiento:</w:t>
      </w:r>
    </w:p>
    <w:p w14:paraId="6BEBABB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*Plan de implementación:</w:t>
      </w:r>
    </w:p>
    <w:p w14:paraId="756D764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los cambios en las políticas, la clasificación y medición de las mismas, así como su impacto en la información financiera:</w:t>
      </w:r>
    </w:p>
    <w:p w14:paraId="71521D40" w14:textId="25A82D8F" w:rsidR="006F0687" w:rsidRPr="00101390" w:rsidRDefault="006F0687" w:rsidP="006F0687">
      <w:pPr>
        <w:tabs>
          <w:tab w:val="left" w:leader="underscore" w:pos="9639"/>
        </w:tabs>
        <w:spacing w:after="0" w:line="240" w:lineRule="auto"/>
        <w:jc w:val="both"/>
        <w:rPr>
          <w:rFonts w:cs="Calibri"/>
          <w:sz w:val="20"/>
          <w:szCs w:val="20"/>
        </w:rPr>
      </w:pPr>
      <w:r w:rsidRPr="00101390">
        <w:rPr>
          <w:rFonts w:cs="Calibri"/>
          <w:sz w:val="20"/>
          <w:szCs w:val="20"/>
        </w:rPr>
        <w:t>*</w:t>
      </w:r>
      <w:r w:rsidR="00D546B2" w:rsidRPr="00101390">
        <w:rPr>
          <w:rFonts w:cs="Calibri"/>
          <w:sz w:val="20"/>
          <w:szCs w:val="20"/>
        </w:rPr>
        <w:t>Presentar los últimos estados financieros con la normatividad anteriormente utilizada con las nuevas políticas para fines de comparación en la transición a la base de devengado.</w:t>
      </w:r>
    </w:p>
    <w:p w14:paraId="2119A6EF" w14:textId="5F1BBC80" w:rsidR="007D1E76" w:rsidRPr="00101390" w:rsidRDefault="007F5E45"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es la primera vez que se implementa el devengado</w:t>
      </w:r>
    </w:p>
    <w:p w14:paraId="7025E7E0" w14:textId="4C87F38F" w:rsidR="007D1E76" w:rsidRPr="00101390" w:rsidRDefault="007F699D" w:rsidP="000C3365">
      <w:pPr>
        <w:pStyle w:val="Ttulo2"/>
        <w:rPr>
          <w:rFonts w:cs="Calibri"/>
          <w:b/>
          <w:sz w:val="20"/>
          <w:szCs w:val="20"/>
        </w:rPr>
      </w:pPr>
      <w:bookmarkStart w:id="5" w:name="_Toc161472870"/>
      <w:r w:rsidRPr="00101390">
        <w:rPr>
          <w:rFonts w:asciiTheme="minorHAnsi" w:hAnsiTheme="minorHAnsi" w:cstheme="minorHAnsi"/>
          <w:b/>
          <w:color w:val="auto"/>
          <w:sz w:val="20"/>
          <w:szCs w:val="20"/>
        </w:rPr>
        <w:t>5</w:t>
      </w:r>
      <w:r w:rsidR="007D1E76" w:rsidRPr="00101390">
        <w:rPr>
          <w:rFonts w:asciiTheme="minorHAnsi" w:hAnsiTheme="minorHAnsi" w:cstheme="minorHAnsi"/>
          <w:b/>
          <w:color w:val="auto"/>
          <w:sz w:val="20"/>
          <w:szCs w:val="20"/>
        </w:rPr>
        <w:t>. Políticas de</w:t>
      </w:r>
      <w:r w:rsidR="00E00323" w:rsidRPr="00101390">
        <w:rPr>
          <w:rFonts w:asciiTheme="minorHAnsi" w:hAnsiTheme="minorHAnsi" w:cstheme="minorHAnsi"/>
          <w:b/>
          <w:color w:val="auto"/>
          <w:sz w:val="20"/>
          <w:szCs w:val="20"/>
        </w:rPr>
        <w:t xml:space="preserve"> Contabilidad Significativas:</w:t>
      </w:r>
      <w:bookmarkEnd w:id="5"/>
    </w:p>
    <w:p w14:paraId="685C2AC3" w14:textId="77777777" w:rsidR="00AF4375"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 xml:space="preserve">Son los principios, bases, reglas y procedimientos específicos adoptados por el ente público en la elaboración y presentación de sus estados financieros. </w:t>
      </w:r>
    </w:p>
    <w:p w14:paraId="793D8065" w14:textId="32E17174" w:rsidR="007D1E76"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El ente público seleccionará y aplicará sus políticas contables de manera congruente para transacciones, otros eventos y condiciones que sean similares.</w:t>
      </w:r>
    </w:p>
    <w:p w14:paraId="4773A4FE"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6073F87B" w14:textId="088E4F5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FC1AE8" w:rsidRPr="00101390">
        <w:rPr>
          <w:rFonts w:cs="Calibri"/>
          <w:sz w:val="20"/>
          <w:szCs w:val="20"/>
        </w:rPr>
        <w:t>Actualización: se informará del método utilizado para la actualización del valor de los activos, pasivos y Hacienda Pública/Patrimonio y las razones de dicha elección. Así como informar de la desconexión o reconexión inflacionaria</w:t>
      </w:r>
      <w:r w:rsidRPr="00101390">
        <w:rPr>
          <w:rFonts w:cs="Calibri"/>
          <w:sz w:val="20"/>
          <w:szCs w:val="20"/>
        </w:rPr>
        <w:t>:</w:t>
      </w:r>
    </w:p>
    <w:p w14:paraId="7CBDE982" w14:textId="77777777" w:rsidR="00ED37D1" w:rsidRPr="00101390" w:rsidRDefault="006D5F8C" w:rsidP="00ED37D1">
      <w:pPr>
        <w:spacing w:after="0" w:line="240" w:lineRule="auto"/>
        <w:jc w:val="both"/>
        <w:rPr>
          <w:rFonts w:cs="Calibri"/>
          <w:sz w:val="20"/>
          <w:szCs w:val="20"/>
        </w:rPr>
      </w:pPr>
      <w:r w:rsidRPr="00101390">
        <w:rPr>
          <w:rFonts w:cs="Calibri"/>
          <w:sz w:val="20"/>
          <w:szCs w:val="20"/>
        </w:rPr>
        <w:t>A la fecha no se ha implementado los criterios de actualización porque no teníamos sistema, ahora con la integración al sistema rector, solicitaremos la actualización por actuario en el caso de los inmuebles, apegándonos a las instrucciones que nos dicte la Dirección de Control Patrimonial, así como la DGCG.</w:t>
      </w:r>
    </w:p>
    <w:p w14:paraId="761C47D7" w14:textId="1CB40B00" w:rsidR="007D1E76" w:rsidRPr="00101390" w:rsidRDefault="007D1E76" w:rsidP="00ED37D1">
      <w:pPr>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w:t>
      </w:r>
      <w:r w:rsidR="001C710C" w:rsidRPr="00101390">
        <w:rPr>
          <w:rFonts w:cs="Calibri"/>
          <w:sz w:val="20"/>
          <w:szCs w:val="20"/>
        </w:rPr>
        <w:t>Informar sobre la realización de operaciones en el extranjero y de sus efectos en la información financiera gubernamental, considerando entre otros el importe de las variaciones cambiarias reconocidas en el resultado (ahorro o desahorro)</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1C1D647B" w14:textId="20CB700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E9132F" w:rsidRPr="00101390">
        <w:rPr>
          <w:rFonts w:cs="Calibri"/>
          <w:sz w:val="20"/>
          <w:szCs w:val="20"/>
        </w:rPr>
        <w:t>Método de valuación de la inversión en acciones de Compañías subsidiarias no consolidadas y asociadas</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788115A4" w14:textId="0AA7723B"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Sistema y método de valuación de inventarios y costo de lo vendido:</w:t>
      </w:r>
      <w:r w:rsidR="007F5E45" w:rsidRPr="00101390">
        <w:rPr>
          <w:rFonts w:cs="Calibri"/>
          <w:sz w:val="20"/>
          <w:szCs w:val="20"/>
        </w:rPr>
        <w:t xml:space="preserve">                                                                           </w:t>
      </w:r>
      <w:r w:rsidR="006D5F8C" w:rsidRPr="00101390">
        <w:rPr>
          <w:rFonts w:cs="Calibri"/>
          <w:sz w:val="20"/>
          <w:szCs w:val="20"/>
        </w:rPr>
        <w:t>Sin información que revelar</w:t>
      </w:r>
    </w:p>
    <w:p w14:paraId="3488266C" w14:textId="0104E384"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Beneficios a empleados: revelar el cálculo de la reserva actuarial, valor presente de los ingresos esperados comparado con el valor presente de la estimación de gastos tanto de los beneficiarios actuales como futuros:</w:t>
      </w:r>
      <w:r w:rsidR="007F5E45" w:rsidRPr="00101390">
        <w:rPr>
          <w:rFonts w:cs="Calibri"/>
          <w:sz w:val="20"/>
          <w:szCs w:val="20"/>
        </w:rPr>
        <w:t xml:space="preserve">                                                                       </w:t>
      </w:r>
      <w:r w:rsidR="006D5F8C" w:rsidRPr="00101390">
        <w:rPr>
          <w:rFonts w:cs="Calibri"/>
          <w:sz w:val="20"/>
          <w:szCs w:val="20"/>
        </w:rPr>
        <w:t>Sin información que revelar</w:t>
      </w:r>
    </w:p>
    <w:p w14:paraId="4E40100B" w14:textId="44437A8D"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Provisiones: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4C613419" w14:textId="57DD9A2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Reservas: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14696C24" w14:textId="18808DF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Cambios en políticas contables y corrección de errores junto con la revelación de los efectos que se tendrá en la información financiera del ente público, ya sea retrospectivos o prospectivos:</w:t>
      </w:r>
      <w:r w:rsidR="007F5E45" w:rsidRPr="00101390">
        <w:rPr>
          <w:rFonts w:cs="Calibri"/>
          <w:sz w:val="20"/>
          <w:szCs w:val="20"/>
        </w:rPr>
        <w:t xml:space="preserve">                                                                                                </w:t>
      </w:r>
      <w:r w:rsidR="00FD6088">
        <w:rPr>
          <w:rFonts w:cs="Calibri"/>
          <w:sz w:val="20"/>
          <w:szCs w:val="20"/>
        </w:rPr>
        <w:t xml:space="preserve">                                                                              </w:t>
      </w:r>
      <w:r w:rsidR="00EA5066" w:rsidRPr="00101390">
        <w:rPr>
          <w:rFonts w:cs="Calibri"/>
          <w:sz w:val="20"/>
          <w:szCs w:val="20"/>
          <w:lang w:val="es-ES" w:eastAsia="es-ES"/>
        </w:rPr>
        <w:t>Sin información que revelar en el periodo</w:t>
      </w:r>
    </w:p>
    <w:p w14:paraId="12C8FA9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i)</w:t>
      </w:r>
      <w:r w:rsidRPr="00101390">
        <w:rPr>
          <w:rFonts w:cs="Calibri"/>
          <w:sz w:val="20"/>
          <w:szCs w:val="20"/>
        </w:rPr>
        <w:t xml:space="preserve"> Reclasificaciones: Se deben revelar todos aquellos movimientos entre cuentas por efectos de cambios en los tipos de operaciones:</w:t>
      </w:r>
    </w:p>
    <w:p w14:paraId="4342A110" w14:textId="5F173607" w:rsidR="007D1E76" w:rsidRPr="00101390" w:rsidRDefault="00552AA4"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lastRenderedPageBreak/>
        <w:t xml:space="preserve">                                                                                                                              </w:t>
      </w:r>
      <w:r w:rsidR="00FD6088">
        <w:rPr>
          <w:rFonts w:ascii="Arial" w:hAnsi="Arial" w:cs="Arial"/>
          <w:sz w:val="20"/>
          <w:szCs w:val="20"/>
          <w:lang w:val="es-ES" w:eastAsia="es-ES"/>
        </w:rPr>
        <w:t xml:space="preserve">                  </w:t>
      </w:r>
      <w:r w:rsidRPr="00101390">
        <w:rPr>
          <w:rFonts w:ascii="Arial" w:hAnsi="Arial" w:cs="Arial"/>
          <w:sz w:val="20"/>
          <w:szCs w:val="20"/>
          <w:lang w:val="es-ES" w:eastAsia="es-ES"/>
        </w:rPr>
        <w:t xml:space="preserve"> </w:t>
      </w:r>
      <w:r w:rsidR="00EA5066" w:rsidRPr="00101390">
        <w:rPr>
          <w:rFonts w:ascii="Arial" w:hAnsi="Arial" w:cs="Arial"/>
          <w:sz w:val="20"/>
          <w:szCs w:val="20"/>
          <w:lang w:val="es-ES" w:eastAsia="es-ES"/>
        </w:rPr>
        <w:t>Sin información que revelar en el periodo</w:t>
      </w:r>
    </w:p>
    <w:p w14:paraId="7D06B360" w14:textId="7F7AAC7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j)</w:t>
      </w:r>
      <w:r w:rsidRPr="00101390">
        <w:rPr>
          <w:rFonts w:cs="Calibri"/>
          <w:sz w:val="20"/>
          <w:szCs w:val="20"/>
        </w:rPr>
        <w:t xml:space="preserve"> Depuración y cancelación de saldos:</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CA8BAC1" w14:textId="16AB8AA7" w:rsidR="007D1E76" w:rsidRPr="00101390" w:rsidRDefault="003E6C64" w:rsidP="000C3365">
      <w:pPr>
        <w:pStyle w:val="Ttulo2"/>
        <w:rPr>
          <w:rFonts w:asciiTheme="minorHAnsi" w:hAnsiTheme="minorHAnsi" w:cstheme="minorHAnsi"/>
          <w:b/>
          <w:color w:val="auto"/>
          <w:sz w:val="20"/>
          <w:szCs w:val="20"/>
        </w:rPr>
      </w:pPr>
      <w:bookmarkStart w:id="6" w:name="_Toc161472871"/>
      <w:r w:rsidRPr="00101390">
        <w:rPr>
          <w:rFonts w:asciiTheme="minorHAnsi" w:hAnsiTheme="minorHAnsi" w:cstheme="minorHAnsi"/>
          <w:b/>
          <w:color w:val="auto"/>
          <w:sz w:val="20"/>
          <w:szCs w:val="20"/>
        </w:rPr>
        <w:t>6</w:t>
      </w:r>
      <w:r w:rsidR="007D1E76" w:rsidRPr="00101390">
        <w:rPr>
          <w:rFonts w:asciiTheme="minorHAnsi" w:hAnsiTheme="minorHAnsi" w:cstheme="minorHAnsi"/>
          <w:b/>
          <w:color w:val="auto"/>
          <w:sz w:val="20"/>
          <w:szCs w:val="20"/>
        </w:rPr>
        <w:t>. Posición en Moneda Extranjera y Pro</w:t>
      </w:r>
      <w:r w:rsidR="00E00323" w:rsidRPr="00101390">
        <w:rPr>
          <w:rFonts w:asciiTheme="minorHAnsi" w:hAnsiTheme="minorHAnsi" w:cstheme="minorHAnsi"/>
          <w:b/>
          <w:color w:val="auto"/>
          <w:sz w:val="20"/>
          <w:szCs w:val="20"/>
        </w:rPr>
        <w:t>tección por Riesgo Cambiario:</w:t>
      </w:r>
      <w:bookmarkEnd w:id="6"/>
    </w:p>
    <w:p w14:paraId="12C7301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20464C79" w14:textId="15E5A12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Activos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2EC0EC7" w14:textId="0E04E19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Pasivos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61C502E" w14:textId="103E8D4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c) </w:t>
      </w:r>
      <w:r w:rsidRPr="00101390">
        <w:rPr>
          <w:rFonts w:cs="Calibri"/>
          <w:sz w:val="20"/>
          <w:szCs w:val="20"/>
        </w:rPr>
        <w:t>Posición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1B6E8C" w14:textId="2911266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Tipo de cambio:</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3EDA9CB4" w14:textId="054E876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Equivalente en moneda nacional:</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72817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 anterior por cada tipo de moneda extranjera que se encuentre en los rubros de activo y pasivo.</w:t>
      </w:r>
    </w:p>
    <w:p w14:paraId="20DD1BAE" w14:textId="4A4A65C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w:t>
      </w:r>
      <w:r w:rsidR="00D32331" w:rsidRPr="00101390">
        <w:rPr>
          <w:rFonts w:cs="Calibri"/>
          <w:sz w:val="20"/>
          <w:szCs w:val="20"/>
        </w:rPr>
        <w:t>,</w:t>
      </w:r>
      <w:r w:rsidRPr="00101390">
        <w:rPr>
          <w:rFonts w:cs="Calibri"/>
          <w:sz w:val="20"/>
          <w:szCs w:val="20"/>
        </w:rPr>
        <w:t xml:space="preserve"> se informará sobre los métodos de protección de riesgo por vari</w:t>
      </w:r>
      <w:r w:rsidR="00E00323" w:rsidRPr="00101390">
        <w:rPr>
          <w:rFonts w:cs="Calibri"/>
          <w:sz w:val="20"/>
          <w:szCs w:val="20"/>
        </w:rPr>
        <w:t>aciones en el tipo de cambio.</w:t>
      </w:r>
    </w:p>
    <w:p w14:paraId="5D7BA233" w14:textId="77777777" w:rsidR="007D1E76" w:rsidRPr="00101390" w:rsidRDefault="007D1E76" w:rsidP="00CB41C4">
      <w:pPr>
        <w:tabs>
          <w:tab w:val="left" w:leader="underscore" w:pos="9639"/>
        </w:tabs>
        <w:spacing w:after="0" w:line="240" w:lineRule="auto"/>
        <w:jc w:val="both"/>
        <w:rPr>
          <w:rFonts w:cs="Calibri"/>
          <w:sz w:val="20"/>
          <w:szCs w:val="20"/>
        </w:rPr>
      </w:pPr>
    </w:p>
    <w:p w14:paraId="095853FE" w14:textId="75928022" w:rsidR="007D1E76" w:rsidRPr="00101390" w:rsidRDefault="0064059E" w:rsidP="000C3365">
      <w:pPr>
        <w:pStyle w:val="Ttulo2"/>
        <w:rPr>
          <w:rFonts w:asciiTheme="minorHAnsi" w:hAnsiTheme="minorHAnsi" w:cstheme="minorHAnsi"/>
          <w:b/>
          <w:color w:val="auto"/>
          <w:sz w:val="20"/>
          <w:szCs w:val="20"/>
        </w:rPr>
      </w:pPr>
      <w:bookmarkStart w:id="7" w:name="_Toc161472872"/>
      <w:r w:rsidRPr="00101390">
        <w:rPr>
          <w:rFonts w:asciiTheme="minorHAnsi" w:hAnsiTheme="minorHAnsi" w:cstheme="minorHAnsi"/>
          <w:b/>
          <w:color w:val="auto"/>
          <w:sz w:val="20"/>
          <w:szCs w:val="20"/>
        </w:rPr>
        <w:t>7</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Reporte Analítico del Activo:</w:t>
      </w:r>
      <w:bookmarkEnd w:id="7"/>
    </w:p>
    <w:p w14:paraId="7DC51E1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Debe mostrar la siguien</w:t>
      </w:r>
      <w:r w:rsidR="00E00323" w:rsidRPr="00101390">
        <w:rPr>
          <w:rFonts w:cs="Calibri"/>
          <w:sz w:val="20"/>
          <w:szCs w:val="20"/>
        </w:rPr>
        <w:t>te información:</w:t>
      </w:r>
    </w:p>
    <w:p w14:paraId="721E8A1F" w14:textId="09BA8E0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ED7AA0" w:rsidRPr="00101390">
        <w:rPr>
          <w:rFonts w:cs="Calibri"/>
          <w:sz w:val="20"/>
          <w:szCs w:val="20"/>
        </w:rPr>
        <w:t>Vida útil, porcentajes de depreciación y amortización utilizados en los diferentes tipos de activos, o el importe de las pérdidas por deterioro reconocidas</w:t>
      </w:r>
      <w:r w:rsidRPr="00101390">
        <w:rPr>
          <w:rFonts w:cs="Calibri"/>
          <w:sz w:val="20"/>
          <w:szCs w:val="20"/>
        </w:rPr>
        <w:t>:</w:t>
      </w:r>
    </w:p>
    <w:p w14:paraId="40BD3B6D" w14:textId="77777777" w:rsidR="00ED37D1" w:rsidRPr="00101390" w:rsidRDefault="00EA5066" w:rsidP="00ED37D1">
      <w:pPr>
        <w:jc w:val="both"/>
        <w:rPr>
          <w:rFonts w:cs="Calibri"/>
          <w:sz w:val="20"/>
          <w:szCs w:val="20"/>
        </w:rPr>
      </w:pPr>
      <w:r w:rsidRPr="00101390">
        <w:rPr>
          <w:rFonts w:cs="Calibri"/>
          <w:sz w:val="20"/>
          <w:szCs w:val="20"/>
        </w:rPr>
        <w:t>Se aplicó la depreciación de los activos fijos con los porcentajes aplicables por el CONAC y las disposiciones que le aplican.</w:t>
      </w:r>
    </w:p>
    <w:p w14:paraId="1983354C" w14:textId="24C2EFA7" w:rsidR="007D1E76" w:rsidRPr="00101390" w:rsidRDefault="007D1E76" w:rsidP="00ED37D1">
      <w:pPr>
        <w:jc w:val="both"/>
        <w:rPr>
          <w:rFonts w:cs="Calibri"/>
          <w:sz w:val="20"/>
          <w:szCs w:val="20"/>
        </w:rPr>
      </w:pPr>
      <w:r w:rsidRPr="00101390">
        <w:rPr>
          <w:rFonts w:cs="Calibri"/>
          <w:b/>
          <w:sz w:val="20"/>
          <w:szCs w:val="20"/>
        </w:rPr>
        <w:t>b)</w:t>
      </w:r>
      <w:r w:rsidRPr="00101390">
        <w:rPr>
          <w:rFonts w:cs="Calibri"/>
          <w:sz w:val="20"/>
          <w:szCs w:val="20"/>
        </w:rPr>
        <w:t xml:space="preserve"> </w:t>
      </w:r>
      <w:r w:rsidR="00AA2768" w:rsidRPr="00101390">
        <w:rPr>
          <w:rFonts w:cs="Calibri"/>
          <w:sz w:val="20"/>
          <w:szCs w:val="20"/>
        </w:rPr>
        <w:t>Cambios en el porcentaje de depreciación y amortización y en el valor de los activos ocasionado por deterioro</w:t>
      </w:r>
      <w:r w:rsidRPr="00101390">
        <w:rPr>
          <w:rFonts w:cs="Calibri"/>
          <w:sz w:val="20"/>
          <w:szCs w:val="20"/>
        </w:rPr>
        <w:t>:</w:t>
      </w:r>
      <w:r w:rsidR="00ED37D1" w:rsidRPr="00101390">
        <w:rPr>
          <w:rFonts w:cs="Calibri"/>
          <w:sz w:val="20"/>
          <w:szCs w:val="20"/>
        </w:rPr>
        <w:t xml:space="preserve"> </w:t>
      </w:r>
      <w:r w:rsidR="00EA5066" w:rsidRPr="00101390">
        <w:rPr>
          <w:rFonts w:cs="Calibri"/>
          <w:sz w:val="20"/>
          <w:szCs w:val="20"/>
          <w:lang w:val="es-ES" w:eastAsia="es-ES"/>
        </w:rPr>
        <w:t>Sin información que revelar en el periodo</w:t>
      </w:r>
    </w:p>
    <w:p w14:paraId="6B2A339C" w14:textId="4D8D3111"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Importe de los gastos capitalizados en el ejercicio, tanto financieros como de investigación y desarrollo:</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5F280972" w14:textId="01C65CE9"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Rie</w:t>
      </w:r>
      <w:r w:rsidR="001973A2" w:rsidRPr="00101390">
        <w:rPr>
          <w:rFonts w:cs="Calibri"/>
          <w:sz w:val="20"/>
          <w:szCs w:val="20"/>
        </w:rPr>
        <w:t>s</w:t>
      </w:r>
      <w:r w:rsidRPr="00101390">
        <w:rPr>
          <w:rFonts w:cs="Calibri"/>
          <w:sz w:val="20"/>
          <w:szCs w:val="20"/>
        </w:rPr>
        <w:t>gos por tipo de cambio o tipo de interés de las inversiones financieras:</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22A83992" w14:textId="69A3C8A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Valor activado en el ejercicio de los bienes construidos por la entidad:</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22240BFE" w14:textId="1959B83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5EBDA4ED" w14:textId="5A38397B"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Desmantelamiento de Activos, procedimientos, implicaciones, efectos contables:</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DA676F9" w14:textId="64BD80EC"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Administración de activos; planeación con el objetivo de que el ente los utilice de manera más efectiva: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03DA31A" w14:textId="77777777" w:rsidR="00ED37D1" w:rsidRPr="00101390" w:rsidRDefault="00ED37D1" w:rsidP="00CB41C4">
      <w:pPr>
        <w:tabs>
          <w:tab w:val="left" w:leader="underscore" w:pos="9639"/>
        </w:tabs>
        <w:spacing w:after="0" w:line="240" w:lineRule="auto"/>
        <w:jc w:val="both"/>
        <w:rPr>
          <w:rFonts w:cs="Calibri"/>
          <w:sz w:val="20"/>
          <w:szCs w:val="20"/>
        </w:rPr>
      </w:pPr>
    </w:p>
    <w:p w14:paraId="1F344FA6"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 se deben incluir las explicaciones de las principales variaciones en el activo, en cua</w:t>
      </w:r>
      <w:r w:rsidR="005E231E" w:rsidRPr="00101390">
        <w:rPr>
          <w:rFonts w:cs="Calibri"/>
          <w:sz w:val="20"/>
          <w:szCs w:val="20"/>
        </w:rPr>
        <w:t>dros comparativos como sigue:</w:t>
      </w:r>
    </w:p>
    <w:p w14:paraId="789C6B25" w14:textId="21FC3D92"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Inversiones en valores:</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4EDF080" w14:textId="03E1310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Patrimonio de Organismos </w:t>
      </w:r>
      <w:r w:rsidR="00B073DE" w:rsidRPr="00101390">
        <w:rPr>
          <w:rFonts w:cs="Calibri"/>
          <w:sz w:val="20"/>
          <w:szCs w:val="20"/>
        </w:rPr>
        <w:t>D</w:t>
      </w:r>
      <w:r w:rsidRPr="00101390">
        <w:rPr>
          <w:rFonts w:cs="Calibri"/>
          <w:sz w:val="20"/>
          <w:szCs w:val="20"/>
        </w:rPr>
        <w:t>escentralizados de Control Presupuestario Indirecto:</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DB1E5A4" w14:textId="64D2BE7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Inversiones en empresas de participación mayoritaria:</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30F7994F" w14:textId="7121F92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Inversiones en empresas de participación minoritaria:</w:t>
      </w:r>
      <w:r w:rsidR="007F5E45" w:rsidRPr="00101390">
        <w:rPr>
          <w:rFonts w:cs="Calibri"/>
          <w:sz w:val="20"/>
          <w:szCs w:val="20"/>
        </w:rPr>
        <w:t xml:space="preserve">         </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48A8FD0" w14:textId="5EE4B8F6"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Patrimonio de </w:t>
      </w:r>
      <w:r w:rsidR="006B1ADF" w:rsidRPr="00101390">
        <w:rPr>
          <w:rFonts w:cs="Calibri"/>
          <w:sz w:val="20"/>
          <w:szCs w:val="20"/>
        </w:rPr>
        <w:t>O</w:t>
      </w:r>
      <w:r w:rsidRPr="00101390">
        <w:rPr>
          <w:rFonts w:cs="Calibri"/>
          <w:sz w:val="20"/>
          <w:szCs w:val="20"/>
        </w:rPr>
        <w:t xml:space="preserve">rganismos </w:t>
      </w:r>
      <w:r w:rsidR="006B1ADF" w:rsidRPr="00101390">
        <w:rPr>
          <w:rFonts w:cs="Calibri"/>
          <w:sz w:val="20"/>
          <w:szCs w:val="20"/>
        </w:rPr>
        <w:t>D</w:t>
      </w:r>
      <w:r w:rsidRPr="00101390">
        <w:rPr>
          <w:rFonts w:cs="Calibri"/>
          <w:sz w:val="20"/>
          <w:szCs w:val="20"/>
        </w:rPr>
        <w:t xml:space="preserve">escentralizados de control </w:t>
      </w:r>
      <w:r w:rsidR="006B1ADF" w:rsidRPr="00101390">
        <w:rPr>
          <w:rFonts w:cs="Calibri"/>
          <w:sz w:val="20"/>
          <w:szCs w:val="20"/>
        </w:rPr>
        <w:t>P</w:t>
      </w:r>
      <w:r w:rsidRPr="00101390">
        <w:rPr>
          <w:rFonts w:cs="Calibri"/>
          <w:sz w:val="20"/>
          <w:szCs w:val="20"/>
        </w:rPr>
        <w:t xml:space="preserve">resupuestario </w:t>
      </w:r>
      <w:r w:rsidR="006B1ADF" w:rsidRPr="00101390">
        <w:rPr>
          <w:rFonts w:cs="Calibri"/>
          <w:sz w:val="20"/>
          <w:szCs w:val="20"/>
        </w:rPr>
        <w:t>D</w:t>
      </w:r>
      <w:r w:rsidRPr="00101390">
        <w:rPr>
          <w:rFonts w:cs="Calibri"/>
          <w:sz w:val="20"/>
          <w:szCs w:val="20"/>
        </w:rPr>
        <w:t>irecto, según corresponda:</w:t>
      </w:r>
      <w:r w:rsidR="0059164F">
        <w:rPr>
          <w:rFonts w:cs="Calibri"/>
          <w:sz w:val="20"/>
          <w:szCs w:val="20"/>
        </w:rPr>
        <w:t xml:space="preserve">   </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E55E712" w14:textId="77C569C9" w:rsidR="007D1E76" w:rsidRPr="00101390" w:rsidRDefault="002722DD" w:rsidP="00101390">
      <w:pPr>
        <w:pStyle w:val="Ttulo2"/>
        <w:rPr>
          <w:rFonts w:cs="Calibri"/>
          <w:color w:val="auto"/>
          <w:sz w:val="20"/>
          <w:szCs w:val="20"/>
        </w:rPr>
      </w:pPr>
      <w:bookmarkStart w:id="8" w:name="_Toc161472873"/>
      <w:r w:rsidRPr="00101390">
        <w:rPr>
          <w:rFonts w:asciiTheme="minorHAnsi" w:hAnsiTheme="minorHAnsi" w:cstheme="minorHAnsi"/>
          <w:b/>
          <w:color w:val="auto"/>
          <w:sz w:val="20"/>
          <w:szCs w:val="20"/>
        </w:rPr>
        <w:t>8</w:t>
      </w:r>
      <w:r w:rsidR="007D1E76" w:rsidRPr="00101390">
        <w:rPr>
          <w:rFonts w:asciiTheme="minorHAnsi" w:hAnsiTheme="minorHAnsi" w:cstheme="minorHAnsi"/>
          <w:b/>
          <w:color w:val="auto"/>
          <w:sz w:val="20"/>
          <w:szCs w:val="20"/>
        </w:rPr>
        <w:t>. Fidei</w:t>
      </w:r>
      <w:r w:rsidR="005E231E" w:rsidRPr="00101390">
        <w:rPr>
          <w:rFonts w:asciiTheme="minorHAnsi" w:hAnsiTheme="minorHAnsi" w:cstheme="minorHAnsi"/>
          <w:b/>
          <w:color w:val="auto"/>
          <w:sz w:val="20"/>
          <w:szCs w:val="20"/>
        </w:rPr>
        <w:t>comisos, Mandatos y Análogos:</w:t>
      </w:r>
      <w:bookmarkEnd w:id="8"/>
      <w:r w:rsidR="00101390" w:rsidRPr="00101390">
        <w:rPr>
          <w:rFonts w:asciiTheme="minorHAnsi" w:hAnsiTheme="minorHAnsi" w:cstheme="minorHAnsi"/>
          <w:b/>
          <w:color w:val="auto"/>
          <w:sz w:val="20"/>
          <w:szCs w:val="20"/>
        </w:rPr>
        <w:t xml:space="preserve">          </w:t>
      </w:r>
      <w:r w:rsidR="007D1E76" w:rsidRPr="00101390">
        <w:rPr>
          <w:rFonts w:cs="Calibri"/>
          <w:color w:val="auto"/>
          <w:sz w:val="20"/>
          <w:szCs w:val="20"/>
        </w:rPr>
        <w:t>Se deberá informar:</w:t>
      </w:r>
    </w:p>
    <w:p w14:paraId="4E76B4F4" w14:textId="0C544DBA"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Por ramo administrativo que los reporta: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CF5E675" w14:textId="77777777" w:rsidR="00FD6088" w:rsidRDefault="007D1E76" w:rsidP="00FD6088">
      <w:pPr>
        <w:tabs>
          <w:tab w:val="left" w:leader="underscore" w:pos="9639"/>
        </w:tabs>
        <w:spacing w:after="0" w:line="240" w:lineRule="auto"/>
        <w:jc w:val="both"/>
        <w:rPr>
          <w:rFonts w:cs="Calibri"/>
          <w:sz w:val="20"/>
          <w:szCs w:val="20"/>
          <w:lang w:val="es-ES" w:eastAsia="es-ES"/>
        </w:rPr>
      </w:pPr>
      <w:r w:rsidRPr="00101390">
        <w:rPr>
          <w:rFonts w:cs="Calibri"/>
          <w:b/>
          <w:sz w:val="20"/>
          <w:szCs w:val="20"/>
        </w:rPr>
        <w:t>b)</w:t>
      </w:r>
      <w:r w:rsidRPr="00101390">
        <w:rPr>
          <w:rFonts w:cs="Calibri"/>
          <w:sz w:val="20"/>
          <w:szCs w:val="20"/>
        </w:rPr>
        <w:t xml:space="preserve"> Enlistar los de mayor monto de disponibilidad, relacionando aquéllos que conforman el 80% de las disponibilidades:</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bookmarkStart w:id="9" w:name="_Toc161472874"/>
    </w:p>
    <w:p w14:paraId="2F60B1C6" w14:textId="009714B0" w:rsidR="007D1E76" w:rsidRPr="00101390" w:rsidRDefault="002722DD" w:rsidP="00FD6088">
      <w:pPr>
        <w:tabs>
          <w:tab w:val="left" w:leader="underscore" w:pos="9639"/>
        </w:tabs>
        <w:spacing w:after="0" w:line="240" w:lineRule="auto"/>
        <w:jc w:val="both"/>
        <w:rPr>
          <w:rFonts w:asciiTheme="minorHAnsi" w:hAnsiTheme="minorHAnsi" w:cstheme="minorHAnsi"/>
          <w:b/>
          <w:sz w:val="20"/>
          <w:szCs w:val="20"/>
        </w:rPr>
      </w:pPr>
      <w:r w:rsidRPr="00101390">
        <w:rPr>
          <w:rFonts w:asciiTheme="minorHAnsi" w:hAnsiTheme="minorHAnsi" w:cstheme="minorHAnsi"/>
          <w:b/>
          <w:sz w:val="20"/>
          <w:szCs w:val="20"/>
        </w:rPr>
        <w:t>9</w:t>
      </w:r>
      <w:r w:rsidR="007D1E76" w:rsidRPr="00101390">
        <w:rPr>
          <w:rFonts w:asciiTheme="minorHAnsi" w:hAnsiTheme="minorHAnsi" w:cstheme="minorHAnsi"/>
          <w:b/>
          <w:sz w:val="20"/>
          <w:szCs w:val="20"/>
        </w:rPr>
        <w:t>. Reporte de la Recaudación:</w:t>
      </w:r>
      <w:bookmarkEnd w:id="9"/>
    </w:p>
    <w:p w14:paraId="6CAD4E54" w14:textId="66F6242E" w:rsidR="007D1E76" w:rsidRPr="00E74967" w:rsidRDefault="007D1E76" w:rsidP="00DF66DF">
      <w:pPr>
        <w:tabs>
          <w:tab w:val="left" w:leader="underscore" w:pos="9639"/>
        </w:tabs>
        <w:spacing w:after="0" w:line="240" w:lineRule="auto"/>
        <w:jc w:val="center"/>
        <w:rPr>
          <w:rFonts w:cs="Calibri"/>
        </w:rPr>
      </w:pPr>
      <w:r w:rsidRPr="00101390">
        <w:rPr>
          <w:rFonts w:cs="Calibri"/>
          <w:b/>
          <w:sz w:val="20"/>
          <w:szCs w:val="20"/>
        </w:rPr>
        <w:lastRenderedPageBreak/>
        <w:t>a)</w:t>
      </w:r>
      <w:r w:rsidRPr="00101390">
        <w:rPr>
          <w:rFonts w:cs="Calibri"/>
          <w:sz w:val="20"/>
          <w:szCs w:val="20"/>
        </w:rPr>
        <w:t xml:space="preserve"> Análisis del comportamiento de la recaudación correspondiente al ente público o cualquier tipo de ingreso, de forma separada los ingresos locales de los federales:</w:t>
      </w:r>
      <w:r w:rsidR="00DF66DF">
        <w:rPr>
          <w:rFonts w:cs="Calibri"/>
          <w:noProof/>
          <w:lang w:eastAsia="es-MX"/>
        </w:rPr>
        <w:t xml:space="preserve">     </w:t>
      </w:r>
    </w:p>
    <w:p w14:paraId="6CEF0D45" w14:textId="58E32C95" w:rsidR="00FD6088" w:rsidRDefault="00E61D46" w:rsidP="00AC22BA">
      <w:pPr>
        <w:tabs>
          <w:tab w:val="left" w:leader="underscore" w:pos="9639"/>
        </w:tabs>
        <w:spacing w:after="0" w:line="240" w:lineRule="auto"/>
        <w:jc w:val="center"/>
        <w:rPr>
          <w:rFonts w:cs="Calibri"/>
          <w:b/>
        </w:rPr>
      </w:pPr>
      <w:r>
        <w:rPr>
          <w:rFonts w:cs="Calibri"/>
          <w:b/>
          <w:noProof/>
          <w:lang w:eastAsia="es-MX"/>
        </w:rPr>
        <w:drawing>
          <wp:inline distT="0" distB="0" distL="0" distR="0" wp14:anchorId="1E324339" wp14:editId="30C4A883">
            <wp:extent cx="8567420" cy="5810250"/>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2CAD04.tmp"/>
                    <pic:cNvPicPr/>
                  </pic:nvPicPr>
                  <pic:blipFill>
                    <a:blip r:embed="rId13">
                      <a:extLst>
                        <a:ext uri="{28A0092B-C50C-407E-A947-70E740481C1C}">
                          <a14:useLocalDpi xmlns:a14="http://schemas.microsoft.com/office/drawing/2010/main" val="0"/>
                        </a:ext>
                      </a:extLst>
                    </a:blip>
                    <a:stretch>
                      <a:fillRect/>
                    </a:stretch>
                  </pic:blipFill>
                  <pic:spPr>
                    <a:xfrm>
                      <a:off x="0" y="0"/>
                      <a:ext cx="8569504" cy="5811663"/>
                    </a:xfrm>
                    <a:prstGeom prst="rect">
                      <a:avLst/>
                    </a:prstGeom>
                  </pic:spPr>
                </pic:pic>
              </a:graphicData>
            </a:graphic>
          </wp:inline>
        </w:drawing>
      </w:r>
    </w:p>
    <w:p w14:paraId="60E7DE89" w14:textId="77777777" w:rsidR="000C6836" w:rsidRDefault="000C6836" w:rsidP="00CB41C4">
      <w:pPr>
        <w:tabs>
          <w:tab w:val="left" w:leader="underscore" w:pos="9639"/>
        </w:tabs>
        <w:spacing w:after="0" w:line="240" w:lineRule="auto"/>
        <w:jc w:val="both"/>
        <w:rPr>
          <w:rFonts w:cs="Calibri"/>
          <w:b/>
        </w:rPr>
      </w:pPr>
    </w:p>
    <w:p w14:paraId="3A51286E" w14:textId="77777777" w:rsidR="000C6836" w:rsidRDefault="000C6836" w:rsidP="00CB41C4">
      <w:pPr>
        <w:tabs>
          <w:tab w:val="left" w:leader="underscore" w:pos="9639"/>
        </w:tabs>
        <w:spacing w:after="0" w:line="240" w:lineRule="auto"/>
        <w:jc w:val="both"/>
        <w:rPr>
          <w:rFonts w:cs="Calibri"/>
          <w:b/>
        </w:rPr>
      </w:pPr>
    </w:p>
    <w:p w14:paraId="5688C4B3" w14:textId="77777777" w:rsidR="000C6836" w:rsidRDefault="000C6836" w:rsidP="00CB41C4">
      <w:pPr>
        <w:tabs>
          <w:tab w:val="left" w:leader="underscore" w:pos="9639"/>
        </w:tabs>
        <w:spacing w:after="0" w:line="240" w:lineRule="auto"/>
        <w:jc w:val="both"/>
        <w:rPr>
          <w:rFonts w:cs="Calibri"/>
          <w:b/>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3C463053" w:rsidR="007D1E76" w:rsidRPr="00E74967" w:rsidRDefault="005E0EF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6BB8AB4E" wp14:editId="7009A58F">
            <wp:extent cx="8811855" cy="2734057"/>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84963F.tmp"/>
                    <pic:cNvPicPr/>
                  </pic:nvPicPr>
                  <pic:blipFill>
                    <a:blip r:embed="rId14">
                      <a:extLst>
                        <a:ext uri="{28A0092B-C50C-407E-A947-70E740481C1C}">
                          <a14:useLocalDpi xmlns:a14="http://schemas.microsoft.com/office/drawing/2010/main" val="0"/>
                        </a:ext>
                      </a:extLst>
                    </a:blip>
                    <a:stretch>
                      <a:fillRect/>
                    </a:stretch>
                  </pic:blipFill>
                  <pic:spPr>
                    <a:xfrm>
                      <a:off x="0" y="0"/>
                      <a:ext cx="8811855" cy="2734057"/>
                    </a:xfrm>
                    <a:prstGeom prst="rect">
                      <a:avLst/>
                    </a:prstGeom>
                  </pic:spPr>
                </pic:pic>
              </a:graphicData>
            </a:graphic>
          </wp:inline>
        </w:drawing>
      </w:r>
      <w:r w:rsidR="000C3365">
        <w:rPr>
          <w:rFonts w:cs="Calibri"/>
        </w:rPr>
        <w:tab/>
      </w:r>
      <w:r w:rsidR="000C3365">
        <w:rPr>
          <w:rFonts w:cs="Calibri"/>
        </w:rPr>
        <w:tab/>
      </w:r>
      <w:r w:rsidR="000C3365">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D68C3FC" w14:textId="7BAEB103" w:rsidR="007D1E76" w:rsidRPr="00FD6088" w:rsidRDefault="007D1E76" w:rsidP="000C3365">
      <w:pPr>
        <w:pStyle w:val="Ttulo2"/>
        <w:rPr>
          <w:rFonts w:asciiTheme="minorHAnsi" w:hAnsiTheme="minorHAnsi" w:cstheme="minorHAnsi"/>
          <w:b/>
          <w:color w:val="auto"/>
          <w:sz w:val="20"/>
          <w:szCs w:val="20"/>
        </w:rPr>
      </w:pPr>
      <w:bookmarkStart w:id="10" w:name="_Toc161472875"/>
      <w:r w:rsidRPr="00FD6088">
        <w:rPr>
          <w:rFonts w:asciiTheme="minorHAnsi" w:hAnsiTheme="minorHAnsi" w:cstheme="minorHAnsi"/>
          <w:b/>
          <w:color w:val="auto"/>
          <w:sz w:val="20"/>
          <w:szCs w:val="20"/>
        </w:rPr>
        <w:t>1</w:t>
      </w:r>
      <w:r w:rsidR="00106EE9" w:rsidRPr="00FD6088">
        <w:rPr>
          <w:rFonts w:asciiTheme="minorHAnsi" w:hAnsiTheme="minorHAnsi" w:cstheme="minorHAnsi"/>
          <w:b/>
          <w:color w:val="auto"/>
          <w:sz w:val="20"/>
          <w:szCs w:val="20"/>
        </w:rPr>
        <w:t>0</w:t>
      </w:r>
      <w:r w:rsidRPr="00FD6088">
        <w:rPr>
          <w:rFonts w:asciiTheme="minorHAnsi" w:hAnsiTheme="minorHAnsi" w:cstheme="minorHAnsi"/>
          <w:b/>
          <w:color w:val="auto"/>
          <w:sz w:val="20"/>
          <w:szCs w:val="20"/>
        </w:rPr>
        <w:t>. Información sobre la Deuda y el R</w:t>
      </w:r>
      <w:r w:rsidR="005E231E" w:rsidRPr="00FD6088">
        <w:rPr>
          <w:rFonts w:asciiTheme="minorHAnsi" w:hAnsiTheme="minorHAnsi" w:cstheme="minorHAnsi"/>
          <w:b/>
          <w:color w:val="auto"/>
          <w:sz w:val="20"/>
          <w:szCs w:val="20"/>
        </w:rPr>
        <w:t>eporte Analítico de la Deuda:</w:t>
      </w:r>
      <w:bookmarkEnd w:id="10"/>
    </w:p>
    <w:p w14:paraId="582AC00A" w14:textId="5162A197"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Utilizar al menos los siguientes indicadores: deuda respecto al PIB y deuda respecto a la recaudación tomando, como mínimo, un período igual o menor a 5 años.</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26034E41"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Información de manera agrupada por tipo de valor gubernamental o instrumento financiero en la que se considere</w:t>
      </w:r>
      <w:r w:rsidR="001973A2" w:rsidRPr="00FD6088">
        <w:rPr>
          <w:rFonts w:cs="Calibri"/>
          <w:sz w:val="20"/>
          <w:szCs w:val="20"/>
        </w:rPr>
        <w:t>n</w:t>
      </w:r>
      <w:r w:rsidRPr="00FD6088">
        <w:rPr>
          <w:rFonts w:cs="Calibri"/>
          <w:sz w:val="20"/>
          <w:szCs w:val="20"/>
        </w:rPr>
        <w:t xml:space="preserve"> intereses, comisiones, tasa, perfil de vencimiento y otros gastos de la deuda.</w:t>
      </w:r>
    </w:p>
    <w:p w14:paraId="7B162E00" w14:textId="12E708A8"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 xml:space="preserve">* Se </w:t>
      </w:r>
      <w:r w:rsidR="000C3365" w:rsidRPr="00FD6088">
        <w:rPr>
          <w:rFonts w:cs="Calibri"/>
          <w:sz w:val="20"/>
          <w:szCs w:val="20"/>
        </w:rPr>
        <w:t>anexará</w:t>
      </w:r>
      <w:r w:rsidRPr="00FD6088">
        <w:rPr>
          <w:rFonts w:cs="Calibri"/>
          <w:sz w:val="20"/>
          <w:szCs w:val="20"/>
        </w:rPr>
        <w:t xml:space="preserve"> la informació</w:t>
      </w:r>
      <w:r w:rsidR="005E231E" w:rsidRPr="00FD6088">
        <w:rPr>
          <w:rFonts w:cs="Calibri"/>
          <w:sz w:val="20"/>
          <w:szCs w:val="20"/>
        </w:rPr>
        <w:t>n en las notas de desglose.</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9C64A34" w14:textId="7E11CC12" w:rsidR="007D1E76" w:rsidRPr="00FD6088" w:rsidRDefault="007D1E76" w:rsidP="000C3365">
      <w:pPr>
        <w:pStyle w:val="Ttulo2"/>
        <w:rPr>
          <w:rFonts w:asciiTheme="minorHAnsi" w:hAnsiTheme="minorHAnsi" w:cstheme="minorHAnsi"/>
          <w:b/>
          <w:color w:val="auto"/>
          <w:sz w:val="20"/>
          <w:szCs w:val="20"/>
        </w:rPr>
      </w:pPr>
      <w:bookmarkStart w:id="11" w:name="_Toc161472876"/>
      <w:r w:rsidRPr="00FD6088">
        <w:rPr>
          <w:rFonts w:asciiTheme="minorHAnsi" w:hAnsiTheme="minorHAnsi" w:cstheme="minorHAnsi"/>
          <w:b/>
          <w:color w:val="auto"/>
          <w:sz w:val="20"/>
          <w:szCs w:val="20"/>
        </w:rPr>
        <w:t>1</w:t>
      </w:r>
      <w:r w:rsidR="005F2900" w:rsidRPr="00FD6088">
        <w:rPr>
          <w:rFonts w:asciiTheme="minorHAnsi" w:hAnsiTheme="minorHAnsi" w:cstheme="minorHAnsi"/>
          <w:b/>
          <w:color w:val="auto"/>
          <w:sz w:val="20"/>
          <w:szCs w:val="20"/>
        </w:rPr>
        <w:t>1</w:t>
      </w:r>
      <w:r w:rsidRPr="00FD6088">
        <w:rPr>
          <w:rFonts w:asciiTheme="minorHAnsi" w:hAnsiTheme="minorHAnsi" w:cstheme="minorHAnsi"/>
          <w:b/>
          <w:color w:val="auto"/>
          <w:sz w:val="20"/>
          <w:szCs w:val="20"/>
        </w:rPr>
        <w:t>.</w:t>
      </w:r>
      <w:r w:rsidR="005E231E" w:rsidRPr="00FD6088">
        <w:rPr>
          <w:rFonts w:asciiTheme="minorHAnsi" w:hAnsiTheme="minorHAnsi" w:cstheme="minorHAnsi"/>
          <w:b/>
          <w:color w:val="auto"/>
          <w:sz w:val="20"/>
          <w:szCs w:val="20"/>
        </w:rPr>
        <w:t xml:space="preserve"> Calificaciones otorgadas:</w:t>
      </w:r>
      <w:bookmarkEnd w:id="11"/>
    </w:p>
    <w:p w14:paraId="1CEFA532" w14:textId="78308C3B"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Informar, tanto del ente público como cualquier transacción realizada, que haya sido sujeta a una calificación crediticia:</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0B4C763" w14:textId="7FFDB478" w:rsidR="007D1E76" w:rsidRPr="00FD6088" w:rsidRDefault="007D1E76" w:rsidP="000C3365">
      <w:pPr>
        <w:pStyle w:val="Ttulo2"/>
        <w:rPr>
          <w:rFonts w:asciiTheme="minorHAnsi" w:hAnsiTheme="minorHAnsi" w:cstheme="minorHAnsi"/>
          <w:b/>
          <w:color w:val="auto"/>
          <w:sz w:val="20"/>
          <w:szCs w:val="20"/>
        </w:rPr>
      </w:pPr>
      <w:bookmarkStart w:id="12" w:name="_Toc161472877"/>
      <w:r w:rsidRPr="00FD6088">
        <w:rPr>
          <w:rFonts w:asciiTheme="minorHAnsi" w:hAnsiTheme="minorHAnsi" w:cstheme="minorHAnsi"/>
          <w:b/>
          <w:color w:val="auto"/>
          <w:sz w:val="20"/>
          <w:szCs w:val="20"/>
        </w:rPr>
        <w:t>1</w:t>
      </w:r>
      <w:r w:rsidR="00F6759B" w:rsidRPr="00FD6088">
        <w:rPr>
          <w:rFonts w:asciiTheme="minorHAnsi" w:hAnsiTheme="minorHAnsi" w:cstheme="minorHAnsi"/>
          <w:b/>
          <w:color w:val="auto"/>
          <w:sz w:val="20"/>
          <w:szCs w:val="20"/>
        </w:rPr>
        <w:t>2</w:t>
      </w:r>
      <w:r w:rsidRPr="00FD6088">
        <w:rPr>
          <w:rFonts w:asciiTheme="minorHAnsi" w:hAnsiTheme="minorHAnsi" w:cstheme="minorHAnsi"/>
          <w:b/>
          <w:color w:val="auto"/>
          <w:sz w:val="20"/>
          <w:szCs w:val="20"/>
        </w:rPr>
        <w:t>. Proceso de Mejora:</w:t>
      </w:r>
      <w:bookmarkEnd w:id="12"/>
    </w:p>
    <w:p w14:paraId="171672D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sz w:val="20"/>
          <w:szCs w:val="20"/>
        </w:rPr>
        <w:t>Se informará de:</w:t>
      </w:r>
    </w:p>
    <w:p w14:paraId="4D639AB5"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Principales Políticas de control interno:</w:t>
      </w:r>
    </w:p>
    <w:p w14:paraId="0132FB08" w14:textId="52252E8C" w:rsidR="007D1E76" w:rsidRPr="00FD6088" w:rsidRDefault="00767813" w:rsidP="00CB41C4">
      <w:pPr>
        <w:tabs>
          <w:tab w:val="left" w:leader="underscore" w:pos="9639"/>
        </w:tabs>
        <w:spacing w:after="0" w:line="240" w:lineRule="auto"/>
        <w:jc w:val="both"/>
        <w:rPr>
          <w:rFonts w:cs="Calibri"/>
          <w:sz w:val="20"/>
          <w:szCs w:val="20"/>
        </w:rPr>
      </w:pPr>
      <w:r w:rsidRPr="00FD6088">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59CFF4B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lastRenderedPageBreak/>
        <w:t>b)</w:t>
      </w:r>
      <w:r w:rsidRPr="00FD6088">
        <w:rPr>
          <w:rFonts w:cs="Calibri"/>
          <w:sz w:val="20"/>
          <w:szCs w:val="20"/>
        </w:rPr>
        <w:t xml:space="preserve"> Medidas de desempeño financiero, metas y alcance:</w:t>
      </w:r>
    </w:p>
    <w:p w14:paraId="1B2DB2DD" w14:textId="2C24F6B9" w:rsidR="00767813" w:rsidRPr="00FD6088" w:rsidRDefault="00767813" w:rsidP="00767813">
      <w:pPr>
        <w:spacing w:after="0" w:line="240" w:lineRule="auto"/>
        <w:jc w:val="both"/>
        <w:rPr>
          <w:rFonts w:cs="Calibri"/>
          <w:sz w:val="20"/>
          <w:szCs w:val="20"/>
        </w:rPr>
      </w:pPr>
      <w:r w:rsidRPr="00FD6088">
        <w:rPr>
          <w:rFonts w:cs="Calibri"/>
          <w:sz w:val="20"/>
          <w:szCs w:val="20"/>
        </w:rPr>
        <w:t>Este rubro se presenta de forma analítica a través de los Informes Programáticos, en el estado financiero Indicador para Resultados IR_2024.</w:t>
      </w:r>
    </w:p>
    <w:p w14:paraId="3D010C2A" w14:textId="279F5D07" w:rsidR="007D1E76" w:rsidRPr="00FD6088" w:rsidRDefault="007D1E76" w:rsidP="000C3365">
      <w:pPr>
        <w:pStyle w:val="Ttulo2"/>
        <w:rPr>
          <w:rFonts w:asciiTheme="minorHAnsi" w:hAnsiTheme="minorHAnsi" w:cstheme="minorHAnsi"/>
          <w:b/>
          <w:color w:val="auto"/>
          <w:sz w:val="20"/>
          <w:szCs w:val="20"/>
        </w:rPr>
      </w:pPr>
      <w:bookmarkStart w:id="13" w:name="_Toc161472878"/>
      <w:r w:rsidRPr="00FD6088">
        <w:rPr>
          <w:rFonts w:asciiTheme="minorHAnsi" w:hAnsiTheme="minorHAnsi" w:cstheme="minorHAnsi"/>
          <w:b/>
          <w:color w:val="auto"/>
          <w:sz w:val="20"/>
          <w:szCs w:val="20"/>
        </w:rPr>
        <w:t>1</w:t>
      </w:r>
      <w:r w:rsidR="00F6759B" w:rsidRPr="00FD6088">
        <w:rPr>
          <w:rFonts w:asciiTheme="minorHAnsi" w:hAnsiTheme="minorHAnsi" w:cstheme="minorHAnsi"/>
          <w:b/>
          <w:color w:val="auto"/>
          <w:sz w:val="20"/>
          <w:szCs w:val="20"/>
        </w:rPr>
        <w:t>3</w:t>
      </w:r>
      <w:r w:rsidR="005E231E" w:rsidRPr="00FD6088">
        <w:rPr>
          <w:rFonts w:asciiTheme="minorHAnsi" w:hAnsiTheme="minorHAnsi" w:cstheme="minorHAnsi"/>
          <w:b/>
          <w:color w:val="auto"/>
          <w:sz w:val="20"/>
          <w:szCs w:val="20"/>
        </w:rPr>
        <w:t>. Información por Segmentos:</w:t>
      </w:r>
      <w:bookmarkEnd w:id="13"/>
    </w:p>
    <w:p w14:paraId="64BC1596" w14:textId="46D52ADD" w:rsidR="007D1E76" w:rsidRPr="00FD6088" w:rsidRDefault="00806269" w:rsidP="00CB41C4">
      <w:pPr>
        <w:tabs>
          <w:tab w:val="left" w:leader="underscore" w:pos="9639"/>
        </w:tabs>
        <w:spacing w:after="0" w:line="240" w:lineRule="auto"/>
        <w:jc w:val="both"/>
        <w:rPr>
          <w:rFonts w:cs="Calibri"/>
          <w:sz w:val="20"/>
          <w:szCs w:val="20"/>
        </w:rPr>
      </w:pPr>
      <w:r w:rsidRPr="00FD6088">
        <w:rPr>
          <w:rFonts w:cs="Calibri"/>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FD6088">
        <w:rPr>
          <w:rFonts w:cs="Calibri"/>
          <w:sz w:val="20"/>
          <w:szCs w:val="20"/>
        </w:rPr>
        <w:t>.</w:t>
      </w:r>
    </w:p>
    <w:p w14:paraId="4572BFCD" w14:textId="77777777" w:rsidR="00101390" w:rsidRPr="00FD6088" w:rsidRDefault="007D1E76" w:rsidP="00101390">
      <w:pPr>
        <w:tabs>
          <w:tab w:val="left" w:leader="underscore" w:pos="9639"/>
        </w:tabs>
        <w:spacing w:after="0" w:line="240" w:lineRule="auto"/>
        <w:jc w:val="both"/>
        <w:rPr>
          <w:rFonts w:cs="Calibri"/>
          <w:sz w:val="20"/>
          <w:szCs w:val="20"/>
          <w:lang w:val="es-ES" w:eastAsia="es-ES"/>
        </w:rPr>
      </w:pPr>
      <w:r w:rsidRPr="00FD6088">
        <w:rPr>
          <w:rFonts w:cs="Calibri"/>
          <w:sz w:val="20"/>
          <w:szCs w:val="20"/>
        </w:rPr>
        <w:t>Consecuentemente, esta información contribuye al análisis más preciso de la situación financiera, grados y fuentes de riesgo y crec</w:t>
      </w:r>
      <w:r w:rsidR="005E231E" w:rsidRPr="00FD6088">
        <w:rPr>
          <w:rFonts w:cs="Calibri"/>
          <w:sz w:val="20"/>
          <w:szCs w:val="20"/>
        </w:rPr>
        <w:t>imiento potencial de negocio.</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bookmarkStart w:id="14" w:name="_Toc161472879"/>
    </w:p>
    <w:p w14:paraId="5CE772DA" w14:textId="5E34EDBE" w:rsidR="007D1E76" w:rsidRDefault="007D1E76" w:rsidP="00101390">
      <w:pPr>
        <w:tabs>
          <w:tab w:val="left" w:leader="underscore" w:pos="9639"/>
        </w:tabs>
        <w:spacing w:after="0" w:line="240" w:lineRule="auto"/>
        <w:jc w:val="both"/>
        <w:rPr>
          <w:rFonts w:asciiTheme="minorHAnsi" w:hAnsiTheme="minorHAnsi" w:cstheme="minorHAnsi"/>
          <w:b/>
          <w:sz w:val="20"/>
          <w:szCs w:val="20"/>
        </w:rPr>
      </w:pPr>
      <w:r w:rsidRPr="00FD6088">
        <w:rPr>
          <w:rFonts w:asciiTheme="minorHAnsi" w:hAnsiTheme="minorHAnsi" w:cstheme="minorHAnsi"/>
          <w:b/>
          <w:sz w:val="20"/>
          <w:szCs w:val="20"/>
        </w:rPr>
        <w:t>1</w:t>
      </w:r>
      <w:r w:rsidR="004A1077" w:rsidRPr="00FD6088">
        <w:rPr>
          <w:rFonts w:asciiTheme="minorHAnsi" w:hAnsiTheme="minorHAnsi" w:cstheme="minorHAnsi"/>
          <w:b/>
          <w:sz w:val="20"/>
          <w:szCs w:val="20"/>
        </w:rPr>
        <w:t>4</w:t>
      </w:r>
      <w:r w:rsidRPr="00FD6088">
        <w:rPr>
          <w:rFonts w:asciiTheme="minorHAnsi" w:hAnsiTheme="minorHAnsi" w:cstheme="minorHAnsi"/>
          <w:b/>
          <w:sz w:val="20"/>
          <w:szCs w:val="20"/>
        </w:rPr>
        <w:t>. E</w:t>
      </w:r>
      <w:r w:rsidR="005E231E" w:rsidRPr="00FD6088">
        <w:rPr>
          <w:rFonts w:asciiTheme="minorHAnsi" w:hAnsiTheme="minorHAnsi" w:cstheme="minorHAnsi"/>
          <w:b/>
          <w:sz w:val="20"/>
          <w:szCs w:val="20"/>
        </w:rPr>
        <w:t>ventos Posteriores al Cierre:</w:t>
      </w:r>
      <w:bookmarkEnd w:id="14"/>
    </w:p>
    <w:p w14:paraId="4B0FC4B6" w14:textId="7A4D0323" w:rsidR="00BC53FA" w:rsidRPr="00FD6088" w:rsidRDefault="00BC53FA" w:rsidP="00101390">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Sin información que revelar en el periodo</w:t>
      </w:r>
    </w:p>
    <w:p w14:paraId="3CC9AECC" w14:textId="4681A2A9" w:rsidR="007D1E76" w:rsidRPr="00FD6088" w:rsidRDefault="005E231E" w:rsidP="000C3365">
      <w:pPr>
        <w:pStyle w:val="Ttulo2"/>
        <w:rPr>
          <w:rFonts w:asciiTheme="minorHAnsi" w:hAnsiTheme="minorHAnsi" w:cstheme="minorHAnsi"/>
          <w:b/>
          <w:color w:val="auto"/>
          <w:sz w:val="20"/>
          <w:szCs w:val="20"/>
        </w:rPr>
      </w:pPr>
      <w:bookmarkStart w:id="15" w:name="_Toc161472880"/>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5</w:t>
      </w:r>
      <w:r w:rsidRPr="00FD6088">
        <w:rPr>
          <w:rFonts w:asciiTheme="minorHAnsi" w:hAnsiTheme="minorHAnsi" w:cstheme="minorHAnsi"/>
          <w:b/>
          <w:color w:val="auto"/>
          <w:sz w:val="20"/>
          <w:szCs w:val="20"/>
        </w:rPr>
        <w:t>. Partes Relacionadas:</w:t>
      </w:r>
      <w:bookmarkEnd w:id="15"/>
    </w:p>
    <w:p w14:paraId="777E5C6F" w14:textId="77777777" w:rsidR="00BC53FA"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Se debe establecer por escrito que no existen partes relacionadas que pudieran ejercer influencia significativa sobre la toma de decisiones financieras y operativas:</w:t>
      </w:r>
      <w:r w:rsidR="00F34B46" w:rsidRPr="00FD6088">
        <w:rPr>
          <w:rFonts w:cs="Calibri"/>
          <w:sz w:val="20"/>
          <w:szCs w:val="20"/>
        </w:rPr>
        <w:t xml:space="preserve"> </w:t>
      </w:r>
    </w:p>
    <w:p w14:paraId="66DFAB6E" w14:textId="45ACFEF1" w:rsidR="00767813" w:rsidRPr="00FD6088" w:rsidRDefault="00767813" w:rsidP="00767813">
      <w:pPr>
        <w:tabs>
          <w:tab w:val="left" w:leader="underscore" w:pos="9639"/>
        </w:tabs>
        <w:spacing w:after="0" w:line="240" w:lineRule="auto"/>
        <w:jc w:val="both"/>
        <w:rPr>
          <w:rFonts w:cs="Calibri"/>
          <w:sz w:val="20"/>
          <w:szCs w:val="20"/>
        </w:rPr>
      </w:pPr>
      <w:r w:rsidRPr="00FD6088">
        <w:rPr>
          <w:rFonts w:cs="Calibri"/>
          <w:sz w:val="20"/>
          <w:szCs w:val="20"/>
          <w:lang w:val="es-ES" w:eastAsia="es-ES"/>
        </w:rPr>
        <w:t>Sin información que revelar en el periodo</w:t>
      </w:r>
    </w:p>
    <w:p w14:paraId="06707DA2" w14:textId="111599B2" w:rsidR="007D1E76" w:rsidRPr="00FD6088" w:rsidRDefault="007D1E76" w:rsidP="00F46719">
      <w:pPr>
        <w:pStyle w:val="Ttulo2"/>
        <w:rPr>
          <w:rFonts w:asciiTheme="minorHAnsi" w:hAnsiTheme="minorHAnsi" w:cstheme="minorHAnsi"/>
          <w:b/>
          <w:color w:val="auto"/>
          <w:sz w:val="20"/>
          <w:szCs w:val="20"/>
        </w:rPr>
      </w:pPr>
      <w:bookmarkStart w:id="16" w:name="_Toc161472881"/>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6</w:t>
      </w:r>
      <w:r w:rsidRPr="00FD6088">
        <w:rPr>
          <w:rFonts w:asciiTheme="minorHAnsi" w:hAnsiTheme="minorHAnsi" w:cstheme="minorHAnsi"/>
          <w:b/>
          <w:color w:val="auto"/>
          <w:sz w:val="20"/>
          <w:szCs w:val="20"/>
        </w:rPr>
        <w:t xml:space="preserve">. </w:t>
      </w:r>
      <w:r w:rsidR="001973A2" w:rsidRPr="00FD6088">
        <w:rPr>
          <w:rFonts w:asciiTheme="minorHAnsi" w:hAnsiTheme="minorHAnsi" w:cstheme="minorHAnsi"/>
          <w:b/>
          <w:color w:val="auto"/>
          <w:sz w:val="20"/>
          <w:szCs w:val="20"/>
        </w:rPr>
        <w:t>Responsabilidad Sobre la Presentación Razonable de la Información Contable</w:t>
      </w:r>
      <w:r w:rsidR="005E231E" w:rsidRPr="00FD6088">
        <w:rPr>
          <w:rFonts w:asciiTheme="minorHAnsi" w:hAnsiTheme="minorHAnsi" w:cstheme="minorHAnsi"/>
          <w:b/>
          <w:color w:val="auto"/>
          <w:sz w:val="20"/>
          <w:szCs w:val="20"/>
        </w:rPr>
        <w:t>:</w:t>
      </w:r>
      <w:bookmarkEnd w:id="16"/>
    </w:p>
    <w:p w14:paraId="50903296" w14:textId="5A74BBD3" w:rsidR="007D1E76" w:rsidRPr="00FD6088" w:rsidRDefault="00C4625D" w:rsidP="00CB41C4">
      <w:pPr>
        <w:tabs>
          <w:tab w:val="left" w:leader="underscore" w:pos="9639"/>
        </w:tabs>
        <w:spacing w:after="0" w:line="240" w:lineRule="auto"/>
        <w:jc w:val="both"/>
        <w:rPr>
          <w:rFonts w:cs="Calibri"/>
          <w:sz w:val="20"/>
          <w:szCs w:val="20"/>
        </w:rPr>
      </w:pPr>
      <w:r w:rsidRPr="00FD6088">
        <w:rPr>
          <w:rFonts w:cs="Calibri"/>
          <w:sz w:val="20"/>
          <w:szCs w:val="20"/>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FD6088">
        <w:rPr>
          <w:rFonts w:cs="Calibri"/>
          <w:sz w:val="20"/>
          <w:szCs w:val="20"/>
        </w:rPr>
        <w:t>.</w:t>
      </w:r>
    </w:p>
    <w:p w14:paraId="097939D2" w14:textId="251AB0E9" w:rsidR="00D5018E" w:rsidRPr="00FD6088" w:rsidRDefault="00D5018E" w:rsidP="00101390">
      <w:pPr>
        <w:tabs>
          <w:tab w:val="left" w:leader="underscore" w:pos="9639"/>
        </w:tabs>
        <w:spacing w:after="0" w:line="240" w:lineRule="atLeast"/>
        <w:jc w:val="both"/>
        <w:rPr>
          <w:rFonts w:asciiTheme="minorHAnsi" w:hAnsiTheme="minorHAnsi" w:cstheme="minorHAnsi"/>
          <w:sz w:val="20"/>
          <w:szCs w:val="20"/>
        </w:rPr>
      </w:pPr>
      <w:r w:rsidRPr="00FD6088">
        <w:rPr>
          <w:rFonts w:asciiTheme="minorHAnsi" w:hAnsiTheme="minorHAnsi" w:cstheme="minorHAnsi"/>
          <w:b/>
          <w:sz w:val="20"/>
          <w:szCs w:val="20"/>
        </w:rPr>
        <w:t>Nota 1</w:t>
      </w:r>
      <w:r w:rsidRPr="00FD6088">
        <w:rPr>
          <w:rFonts w:asciiTheme="minorHAnsi" w:hAnsiTheme="minorHAnsi" w:cstheme="minorHAnsi"/>
          <w:sz w:val="20"/>
          <w:szCs w:val="20"/>
        </w:rPr>
        <w:t>: En cada una de las 1</w:t>
      </w:r>
      <w:r w:rsidR="005053EE" w:rsidRPr="00FD6088">
        <w:rPr>
          <w:rFonts w:asciiTheme="minorHAnsi" w:hAnsiTheme="minorHAnsi" w:cstheme="minorHAnsi"/>
          <w:sz w:val="20"/>
          <w:szCs w:val="20"/>
        </w:rPr>
        <w:t>5</w:t>
      </w:r>
      <w:r w:rsidRPr="00FD6088">
        <w:rPr>
          <w:rFonts w:asciiTheme="minorHAnsi" w:hAnsiTheme="minorHAnsi" w:cstheme="minorHAnsi"/>
          <w:sz w:val="20"/>
          <w:szCs w:val="20"/>
        </w:rPr>
        <w:t xml:space="preserve"> notas de gestión administrativa el ente público deberá poner la nota correspondiente o en su caso la leyenda “</w:t>
      </w:r>
      <w:r w:rsidRPr="00FD6088">
        <w:rPr>
          <w:rFonts w:asciiTheme="minorHAnsi" w:hAnsiTheme="minorHAnsi" w:cstheme="minorHAnsi"/>
          <w:b/>
          <w:bCs/>
          <w:sz w:val="20"/>
          <w:szCs w:val="20"/>
        </w:rPr>
        <w:t>Esta nota no le aplica al ente público” y una breve explicación del motivo por el cual no le es aplicable</w:t>
      </w:r>
      <w:r w:rsidRPr="00FD6088">
        <w:rPr>
          <w:rFonts w:asciiTheme="minorHAnsi" w:hAnsiTheme="minorHAnsi" w:cstheme="minorHAnsi"/>
          <w:sz w:val="20"/>
          <w:szCs w:val="20"/>
        </w:rPr>
        <w:t>.</w:t>
      </w:r>
      <w:r w:rsidR="000310EF" w:rsidRPr="00FD6088">
        <w:rPr>
          <w:rFonts w:asciiTheme="minorHAnsi" w:hAnsiTheme="minorHAnsi" w:cstheme="minorHAnsi"/>
          <w:sz w:val="20"/>
          <w:szCs w:val="20"/>
        </w:rPr>
        <w:t xml:space="preserve"> 06-12-2022</w:t>
      </w:r>
    </w:p>
    <w:p w14:paraId="0AABDD06" w14:textId="77777777" w:rsidR="00D5018E" w:rsidRPr="0012405A" w:rsidRDefault="00D5018E" w:rsidP="00101390">
      <w:pPr>
        <w:pBdr>
          <w:bottom w:val="single" w:sz="12" w:space="1" w:color="auto"/>
        </w:pBdr>
        <w:tabs>
          <w:tab w:val="left" w:leader="underscore" w:pos="9639"/>
        </w:tabs>
        <w:spacing w:after="0" w:line="240" w:lineRule="atLeast"/>
        <w:jc w:val="both"/>
        <w:rPr>
          <w:rFonts w:cs="Calibri"/>
        </w:rPr>
      </w:pPr>
    </w:p>
    <w:p w14:paraId="74D16815" w14:textId="53D5257D" w:rsidR="00D5018E" w:rsidRPr="00046FAF" w:rsidRDefault="00046FAF" w:rsidP="00101390">
      <w:pPr>
        <w:tabs>
          <w:tab w:val="left" w:leader="underscore" w:pos="9639"/>
        </w:tabs>
        <w:spacing w:after="0" w:line="240" w:lineRule="atLeast"/>
        <w:jc w:val="both"/>
        <w:rPr>
          <w:rFonts w:cs="Calibri"/>
          <w:sz w:val="18"/>
          <w:szCs w:val="18"/>
        </w:rPr>
      </w:pPr>
      <w:r w:rsidRPr="00046FAF">
        <w:rPr>
          <w:rFonts w:cs="Calibri"/>
          <w:sz w:val="18"/>
          <w:szCs w:val="18"/>
        </w:rPr>
        <w:t>Bajo protesta de decir verdad declaramos que los Estados Financieros y sus notas, son razonablemente correctos y son responsabilidad del emisor.</w:t>
      </w:r>
    </w:p>
    <w:p w14:paraId="30F9B92F" w14:textId="77777777" w:rsidR="00101390" w:rsidRDefault="00101390" w:rsidP="00101390">
      <w:pPr>
        <w:tabs>
          <w:tab w:val="left" w:leader="underscore" w:pos="9639"/>
        </w:tabs>
        <w:spacing w:after="0" w:line="240" w:lineRule="atLeast"/>
        <w:jc w:val="both"/>
        <w:rPr>
          <w:rFonts w:cs="Calibri"/>
        </w:rPr>
      </w:pPr>
    </w:p>
    <w:p w14:paraId="3EAC6EE3" w14:textId="77777777" w:rsidR="00101390" w:rsidRDefault="00101390" w:rsidP="00101390">
      <w:pPr>
        <w:tabs>
          <w:tab w:val="left" w:leader="underscore" w:pos="9639"/>
        </w:tabs>
        <w:spacing w:after="0" w:line="240" w:lineRule="atLeast"/>
        <w:jc w:val="both"/>
        <w:rPr>
          <w:rFonts w:cs="Calibri"/>
        </w:rPr>
      </w:pPr>
    </w:p>
    <w:p w14:paraId="415A079F" w14:textId="77777777" w:rsidR="00FD6088" w:rsidRDefault="00FD6088" w:rsidP="00101390">
      <w:pPr>
        <w:tabs>
          <w:tab w:val="left" w:leader="underscore" w:pos="9639"/>
        </w:tabs>
        <w:spacing w:after="0" w:line="240" w:lineRule="atLeast"/>
        <w:jc w:val="both"/>
        <w:rPr>
          <w:rFonts w:cs="Calibri"/>
        </w:rPr>
      </w:pPr>
    </w:p>
    <w:p w14:paraId="35E3414B" w14:textId="77777777" w:rsidR="00FD6088" w:rsidRDefault="00FD6088" w:rsidP="00101390">
      <w:pPr>
        <w:tabs>
          <w:tab w:val="left" w:leader="underscore" w:pos="9639"/>
        </w:tabs>
        <w:spacing w:after="0" w:line="240" w:lineRule="atLeast"/>
        <w:jc w:val="both"/>
        <w:rPr>
          <w:rFonts w:cs="Calibri"/>
        </w:rPr>
      </w:pPr>
    </w:p>
    <w:sectPr w:rsidR="00FD6088" w:rsidSect="00C2703F">
      <w:headerReference w:type="default" r:id="rId15"/>
      <w:footerReference w:type="default" r:id="rId16"/>
      <w:pgSz w:w="15840" w:h="12240" w:orient="landscape" w:code="1"/>
      <w:pgMar w:top="142" w:right="720" w:bottom="284" w:left="72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42F47" w14:textId="77777777" w:rsidR="00270EFB" w:rsidRDefault="00270EFB" w:rsidP="00E00323">
      <w:pPr>
        <w:spacing w:after="0" w:line="240" w:lineRule="auto"/>
      </w:pPr>
      <w:r>
        <w:separator/>
      </w:r>
    </w:p>
  </w:endnote>
  <w:endnote w:type="continuationSeparator" w:id="0">
    <w:p w14:paraId="7CCC6FD2" w14:textId="77777777" w:rsidR="00270EFB" w:rsidRDefault="00270EF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2122257"/>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8F360B" w:rsidRPr="008F360B">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31C50" w14:textId="77777777" w:rsidR="00270EFB" w:rsidRDefault="00270EFB" w:rsidP="00E00323">
      <w:pPr>
        <w:spacing w:after="0" w:line="240" w:lineRule="auto"/>
      </w:pPr>
      <w:r>
        <w:separator/>
      </w:r>
    </w:p>
  </w:footnote>
  <w:footnote w:type="continuationSeparator" w:id="0">
    <w:p w14:paraId="7F5A069E" w14:textId="77777777" w:rsidR="00270EFB" w:rsidRDefault="00270EFB"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B85D1" w14:textId="77777777" w:rsidR="00E4341B" w:rsidRDefault="00E4341B" w:rsidP="00E4341B">
    <w:pPr>
      <w:pStyle w:val="Encabezado"/>
      <w:spacing w:after="0" w:line="240" w:lineRule="auto"/>
      <w:jc w:val="center"/>
    </w:pPr>
    <w:r>
      <w:t>INSTITUTO TECNOLOGICO SUPERIOR DE SALVATIERRA</w:t>
    </w:r>
  </w:p>
  <w:p w14:paraId="651A4C4F" w14:textId="39B9B8C1" w:rsidR="00A4610E" w:rsidRPr="00E4341B" w:rsidRDefault="00E4341B" w:rsidP="00C2703F">
    <w:pPr>
      <w:pStyle w:val="Encabezado"/>
      <w:spacing w:after="0" w:line="240" w:lineRule="auto"/>
      <w:jc w:val="center"/>
    </w:pPr>
    <w:r>
      <w:t xml:space="preserve">CORRESPONDINTES AL </w:t>
    </w:r>
    <w:r w:rsidR="0050106D">
      <w:t>30 DE JUNIO</w:t>
    </w:r>
    <w:r w:rsidR="00C2703F">
      <w:t xml:space="preserve"> DE</w:t>
    </w:r>
    <w:r w:rsidR="0050106D">
      <w:t>L</w:t>
    </w:r>
    <w:r w:rsidR="00C2703F">
      <w:t xml:space="preserv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553B"/>
    <w:rsid w:val="000310EF"/>
    <w:rsid w:val="00040D4F"/>
    <w:rsid w:val="00046FAF"/>
    <w:rsid w:val="00084EAE"/>
    <w:rsid w:val="00091CE6"/>
    <w:rsid w:val="000B7810"/>
    <w:rsid w:val="000C3365"/>
    <w:rsid w:val="000C6836"/>
    <w:rsid w:val="00101390"/>
    <w:rsid w:val="00106EE9"/>
    <w:rsid w:val="0012405A"/>
    <w:rsid w:val="0012493A"/>
    <w:rsid w:val="00154BA3"/>
    <w:rsid w:val="00174416"/>
    <w:rsid w:val="001973A2"/>
    <w:rsid w:val="001C34BC"/>
    <w:rsid w:val="001C710C"/>
    <w:rsid w:val="001C75F2"/>
    <w:rsid w:val="001D2063"/>
    <w:rsid w:val="001D43E9"/>
    <w:rsid w:val="00224F98"/>
    <w:rsid w:val="00231FBE"/>
    <w:rsid w:val="00232175"/>
    <w:rsid w:val="0024740E"/>
    <w:rsid w:val="00270EFB"/>
    <w:rsid w:val="002722DD"/>
    <w:rsid w:val="002845E1"/>
    <w:rsid w:val="00295B72"/>
    <w:rsid w:val="002C54AC"/>
    <w:rsid w:val="00317483"/>
    <w:rsid w:val="003453CA"/>
    <w:rsid w:val="00396D53"/>
    <w:rsid w:val="003D14FC"/>
    <w:rsid w:val="003E6C64"/>
    <w:rsid w:val="0043078C"/>
    <w:rsid w:val="00435A87"/>
    <w:rsid w:val="00447AFC"/>
    <w:rsid w:val="004843FA"/>
    <w:rsid w:val="004A1077"/>
    <w:rsid w:val="004A1E9C"/>
    <w:rsid w:val="004A4165"/>
    <w:rsid w:val="004A58C8"/>
    <w:rsid w:val="004C4770"/>
    <w:rsid w:val="004F234D"/>
    <w:rsid w:val="004F44F3"/>
    <w:rsid w:val="004F6FAC"/>
    <w:rsid w:val="0050106D"/>
    <w:rsid w:val="005053EE"/>
    <w:rsid w:val="00516100"/>
    <w:rsid w:val="00516A8F"/>
    <w:rsid w:val="00526C3A"/>
    <w:rsid w:val="00540261"/>
    <w:rsid w:val="00542C1E"/>
    <w:rsid w:val="0054701E"/>
    <w:rsid w:val="00552AA4"/>
    <w:rsid w:val="0059164F"/>
    <w:rsid w:val="005B5531"/>
    <w:rsid w:val="005D3E43"/>
    <w:rsid w:val="005E0EF3"/>
    <w:rsid w:val="005E231E"/>
    <w:rsid w:val="005F2900"/>
    <w:rsid w:val="005F51CC"/>
    <w:rsid w:val="0064059E"/>
    <w:rsid w:val="00657009"/>
    <w:rsid w:val="0067352C"/>
    <w:rsid w:val="00680368"/>
    <w:rsid w:val="00681C79"/>
    <w:rsid w:val="00694D93"/>
    <w:rsid w:val="006B1ADF"/>
    <w:rsid w:val="006D40BF"/>
    <w:rsid w:val="006D5F8C"/>
    <w:rsid w:val="006F0687"/>
    <w:rsid w:val="006F77A8"/>
    <w:rsid w:val="007610BC"/>
    <w:rsid w:val="00767813"/>
    <w:rsid w:val="007714AB"/>
    <w:rsid w:val="007C5700"/>
    <w:rsid w:val="007D1E76"/>
    <w:rsid w:val="007D4484"/>
    <w:rsid w:val="007E38A2"/>
    <w:rsid w:val="007F5E45"/>
    <w:rsid w:val="007F699D"/>
    <w:rsid w:val="00806269"/>
    <w:rsid w:val="0086420E"/>
    <w:rsid w:val="0086459F"/>
    <w:rsid w:val="008657D3"/>
    <w:rsid w:val="00897D33"/>
    <w:rsid w:val="008C201C"/>
    <w:rsid w:val="008C3BB8"/>
    <w:rsid w:val="008E076C"/>
    <w:rsid w:val="008F360B"/>
    <w:rsid w:val="0092765C"/>
    <w:rsid w:val="009539F9"/>
    <w:rsid w:val="00967DDA"/>
    <w:rsid w:val="009736CB"/>
    <w:rsid w:val="009B568E"/>
    <w:rsid w:val="009F5A4F"/>
    <w:rsid w:val="00A0396A"/>
    <w:rsid w:val="00A4610E"/>
    <w:rsid w:val="00A6346D"/>
    <w:rsid w:val="00A730E0"/>
    <w:rsid w:val="00AA2768"/>
    <w:rsid w:val="00AA41E5"/>
    <w:rsid w:val="00AB722B"/>
    <w:rsid w:val="00AC22BA"/>
    <w:rsid w:val="00AD6D9C"/>
    <w:rsid w:val="00AE1F6A"/>
    <w:rsid w:val="00AF4375"/>
    <w:rsid w:val="00B053C2"/>
    <w:rsid w:val="00B073DE"/>
    <w:rsid w:val="00B353C2"/>
    <w:rsid w:val="00B6368B"/>
    <w:rsid w:val="00BA1680"/>
    <w:rsid w:val="00BA53FE"/>
    <w:rsid w:val="00BC53FA"/>
    <w:rsid w:val="00BD7174"/>
    <w:rsid w:val="00BE02EB"/>
    <w:rsid w:val="00BE55EA"/>
    <w:rsid w:val="00C2703F"/>
    <w:rsid w:val="00C4250B"/>
    <w:rsid w:val="00C4625D"/>
    <w:rsid w:val="00C54C12"/>
    <w:rsid w:val="00C70B74"/>
    <w:rsid w:val="00C928A1"/>
    <w:rsid w:val="00C93C67"/>
    <w:rsid w:val="00C95A48"/>
    <w:rsid w:val="00C97E1E"/>
    <w:rsid w:val="00CB41C4"/>
    <w:rsid w:val="00CB7C52"/>
    <w:rsid w:val="00CF1316"/>
    <w:rsid w:val="00D13C44"/>
    <w:rsid w:val="00D32331"/>
    <w:rsid w:val="00D33BBA"/>
    <w:rsid w:val="00D40FC2"/>
    <w:rsid w:val="00D5018E"/>
    <w:rsid w:val="00D546B2"/>
    <w:rsid w:val="00D975B1"/>
    <w:rsid w:val="00DA6F1E"/>
    <w:rsid w:val="00DD018C"/>
    <w:rsid w:val="00DF66DF"/>
    <w:rsid w:val="00E00323"/>
    <w:rsid w:val="00E11758"/>
    <w:rsid w:val="00E4341B"/>
    <w:rsid w:val="00E61D46"/>
    <w:rsid w:val="00E73A45"/>
    <w:rsid w:val="00E74967"/>
    <w:rsid w:val="00E7559F"/>
    <w:rsid w:val="00E85520"/>
    <w:rsid w:val="00E9132F"/>
    <w:rsid w:val="00EA37F5"/>
    <w:rsid w:val="00EA5066"/>
    <w:rsid w:val="00EA7915"/>
    <w:rsid w:val="00ED37D1"/>
    <w:rsid w:val="00ED7AA0"/>
    <w:rsid w:val="00F067C8"/>
    <w:rsid w:val="00F34B46"/>
    <w:rsid w:val="00F43AC5"/>
    <w:rsid w:val="00F46719"/>
    <w:rsid w:val="00F54F6F"/>
    <w:rsid w:val="00F6102D"/>
    <w:rsid w:val="00F65A92"/>
    <w:rsid w:val="00F6759B"/>
    <w:rsid w:val="00FC1AE8"/>
    <w:rsid w:val="00FD60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9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m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62DA6-549E-4778-BD32-AD6560D5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2744</Words>
  <Characters>15093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17802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Microsoft</cp:lastModifiedBy>
  <cp:revision>2</cp:revision>
  <cp:lastPrinted>2026-07-16T19:51:00Z</cp:lastPrinted>
  <dcterms:created xsi:type="dcterms:W3CDTF">2026-08-06T16:26:00Z</dcterms:created>
  <dcterms:modified xsi:type="dcterms:W3CDTF">2026-08-06T16:26:00Z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